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245AE" w14:textId="60359C76" w:rsidR="002105A8" w:rsidRPr="00741074" w:rsidRDefault="00944677" w:rsidP="00125F90">
      <w:pPr>
        <w:pStyle w:val="Title"/>
        <w:jc w:val="center"/>
        <w:rPr>
          <w:rFonts w:ascii="Arial" w:hAnsi="Arial" w:cs="Arial"/>
          <w:b/>
          <w:bCs/>
          <w:sz w:val="24"/>
          <w:szCs w:val="24"/>
          <w:lang w:val="en-GB"/>
        </w:rPr>
      </w:pPr>
      <w:r w:rsidRPr="00741074">
        <w:rPr>
          <w:rFonts w:ascii="Arial" w:hAnsi="Arial" w:cs="Arial"/>
          <w:b/>
          <w:bCs/>
          <w:sz w:val="24"/>
          <w:szCs w:val="24"/>
          <w:lang w:val="en-GB"/>
        </w:rPr>
        <w:t>Terms of Reference</w:t>
      </w:r>
    </w:p>
    <w:p w14:paraId="5C4641EB" w14:textId="57FD2517" w:rsidR="002105A8" w:rsidRPr="00741074" w:rsidRDefault="00741074" w:rsidP="00125F90">
      <w:pPr>
        <w:pStyle w:val="Title"/>
        <w:jc w:val="center"/>
        <w:rPr>
          <w:rFonts w:ascii="Arial" w:hAnsi="Arial" w:cs="Arial"/>
          <w:b/>
          <w:bCs/>
          <w:sz w:val="24"/>
          <w:szCs w:val="24"/>
          <w:lang w:val="en-GB"/>
        </w:rPr>
      </w:pPr>
      <w:r w:rsidRPr="00741074">
        <w:rPr>
          <w:rFonts w:ascii="Arial" w:hAnsi="Arial" w:cs="Arial"/>
          <w:b/>
          <w:bCs/>
          <w:sz w:val="24"/>
          <w:szCs w:val="24"/>
          <w:lang w:val="en-GB"/>
        </w:rPr>
        <w:t>NATIONAL POLICY ADVISOR</w:t>
      </w:r>
      <w:r w:rsidR="00FB1232">
        <w:rPr>
          <w:rFonts w:ascii="Arial" w:hAnsi="Arial" w:cs="Arial"/>
          <w:b/>
          <w:bCs/>
          <w:sz w:val="24"/>
          <w:szCs w:val="24"/>
          <w:lang w:val="en-GB"/>
        </w:rPr>
        <w:t xml:space="preserve"> ON UNIVERSAL HEALTH COVERAGE</w:t>
      </w:r>
    </w:p>
    <w:p w14:paraId="3ABAEAB1" w14:textId="6374A759" w:rsidR="003420DE" w:rsidRPr="00741074" w:rsidRDefault="002105A8" w:rsidP="00125F90">
      <w:pPr>
        <w:pStyle w:val="Title"/>
        <w:jc w:val="center"/>
        <w:rPr>
          <w:rFonts w:ascii="Arial" w:hAnsi="Arial" w:cs="Arial"/>
          <w:b/>
          <w:bCs/>
          <w:sz w:val="24"/>
          <w:szCs w:val="24"/>
          <w:lang w:val="en-GB"/>
        </w:rPr>
      </w:pPr>
      <w:r w:rsidRPr="00741074">
        <w:rPr>
          <w:rFonts w:ascii="Arial" w:hAnsi="Arial" w:cs="Arial"/>
          <w:b/>
          <w:bCs/>
          <w:sz w:val="24"/>
          <w:szCs w:val="24"/>
          <w:lang w:val="en-GB"/>
        </w:rPr>
        <w:t>to support the Ministry of Health in</w:t>
      </w:r>
      <w:r w:rsidR="00371CA5" w:rsidRPr="00741074">
        <w:rPr>
          <w:rFonts w:ascii="Arial" w:hAnsi="Arial" w:cs="Arial"/>
          <w:b/>
          <w:bCs/>
          <w:sz w:val="24"/>
          <w:szCs w:val="24"/>
          <w:lang w:val="en-GB"/>
        </w:rPr>
        <w:t xml:space="preserve"> the</w:t>
      </w:r>
      <w:r w:rsidRPr="00741074">
        <w:rPr>
          <w:rFonts w:ascii="Arial" w:hAnsi="Arial" w:cs="Arial"/>
          <w:b/>
          <w:bCs/>
          <w:sz w:val="24"/>
          <w:szCs w:val="24"/>
          <w:lang w:val="en-GB"/>
        </w:rPr>
        <w:t xml:space="preserve"> implementation of the Universal Health Coverage reform</w:t>
      </w:r>
      <w:r w:rsidR="00FE5624" w:rsidRPr="00741074">
        <w:rPr>
          <w:rFonts w:ascii="Arial" w:hAnsi="Arial" w:cs="Arial"/>
          <w:b/>
          <w:bCs/>
          <w:sz w:val="24"/>
          <w:szCs w:val="24"/>
          <w:lang w:val="en-GB"/>
        </w:rPr>
        <w:t>s</w:t>
      </w:r>
    </w:p>
    <w:p w14:paraId="75DB7DFF" w14:textId="38E11D9F" w:rsidR="00944677" w:rsidRPr="00741074" w:rsidRDefault="003420DE" w:rsidP="00125F90">
      <w:pPr>
        <w:pStyle w:val="Heading2"/>
        <w:keepLines/>
        <w:spacing w:before="200" w:line="276" w:lineRule="auto"/>
        <w:rPr>
          <w:rFonts w:eastAsia="Times New Roman"/>
          <w:b w:val="0"/>
          <w:bCs/>
          <w:sz w:val="20"/>
          <w:szCs w:val="20"/>
          <w:lang w:val="en-GB" w:eastAsia="de-CH"/>
        </w:rPr>
      </w:pPr>
      <w:r w:rsidRPr="00741074">
        <w:rPr>
          <w:rFonts w:eastAsiaTheme="majorEastAsia"/>
          <w:bCs/>
          <w:iCs w:val="0"/>
          <w:color w:val="4F81BD" w:themeColor="accent1"/>
          <w:kern w:val="0"/>
          <w:sz w:val="20"/>
          <w:szCs w:val="20"/>
          <w:lang w:val="en-GB"/>
        </w:rPr>
        <w:t>Background</w:t>
      </w:r>
      <w:r w:rsidRPr="00741074">
        <w:rPr>
          <w:rFonts w:eastAsia="Times New Roman"/>
          <w:bCs/>
          <w:sz w:val="20"/>
          <w:szCs w:val="20"/>
          <w:lang w:val="en-GB" w:eastAsia="de-CH"/>
        </w:rPr>
        <w:t xml:space="preserve"> </w:t>
      </w:r>
    </w:p>
    <w:p w14:paraId="5F54CD59" w14:textId="40487F4C" w:rsidR="00741074" w:rsidRPr="00741074" w:rsidRDefault="00741074" w:rsidP="00741074">
      <w:pPr>
        <w:pStyle w:val="NormalWeb"/>
        <w:jc w:val="both"/>
        <w:rPr>
          <w:rFonts w:ascii="Arial" w:hAnsi="Arial" w:cs="Arial"/>
          <w:sz w:val="20"/>
          <w:szCs w:val="20"/>
          <w:lang w:val="en-US"/>
        </w:rPr>
      </w:pPr>
      <w:r w:rsidRPr="00741074">
        <w:rPr>
          <w:rFonts w:ascii="Arial" w:hAnsi="Arial" w:cs="Arial"/>
          <w:sz w:val="20"/>
          <w:szCs w:val="20"/>
          <w:lang w:val="en-US"/>
        </w:rPr>
        <w:t>Moldova’s healthcare system has seen important improvements over the past two decades; however, significant structural challenges remain. These include fragmented hospital services, uneven distribution of resources, concentration of capacities in the capital, and limited access to quality healthcare</w:t>
      </w:r>
      <w:r w:rsidR="007F5C54">
        <w:rPr>
          <w:rFonts w:ascii="Arial" w:hAnsi="Arial" w:cs="Arial"/>
          <w:sz w:val="20"/>
          <w:szCs w:val="20"/>
          <w:lang w:val="en-US"/>
        </w:rPr>
        <w:t xml:space="preserve"> </w:t>
      </w:r>
      <w:r w:rsidRPr="00741074">
        <w:rPr>
          <w:rFonts w:ascii="Arial" w:hAnsi="Arial" w:cs="Arial"/>
          <w:sz w:val="20"/>
          <w:szCs w:val="20"/>
          <w:lang w:val="en-US"/>
        </w:rPr>
        <w:t>—</w:t>
      </w:r>
      <w:r w:rsidR="007F5C54">
        <w:rPr>
          <w:rFonts w:ascii="Arial" w:hAnsi="Arial" w:cs="Arial"/>
          <w:sz w:val="20"/>
          <w:szCs w:val="20"/>
          <w:lang w:val="en-US"/>
        </w:rPr>
        <w:t xml:space="preserve"> </w:t>
      </w:r>
      <w:r w:rsidRPr="00741074">
        <w:rPr>
          <w:rFonts w:ascii="Arial" w:hAnsi="Arial" w:cs="Arial"/>
          <w:sz w:val="20"/>
          <w:szCs w:val="20"/>
          <w:lang w:val="en-US"/>
        </w:rPr>
        <w:t xml:space="preserve">particularly in rural areas. Vulnerable and excluded groups, such as the elderly, people with disabilities, and refugees, continue to face heightened barriers to affordable and quality care. In addition, public trust in the health system remains </w:t>
      </w:r>
      <w:r w:rsidR="007F5C54">
        <w:rPr>
          <w:rFonts w:ascii="Arial" w:hAnsi="Arial" w:cs="Arial"/>
          <w:sz w:val="20"/>
          <w:szCs w:val="20"/>
          <w:lang w:val="en-US"/>
        </w:rPr>
        <w:t xml:space="preserve">rather </w:t>
      </w:r>
      <w:r w:rsidRPr="00741074">
        <w:rPr>
          <w:rFonts w:ascii="Arial" w:hAnsi="Arial" w:cs="Arial"/>
          <w:sz w:val="20"/>
          <w:szCs w:val="20"/>
          <w:lang w:val="en-US"/>
        </w:rPr>
        <w:t>low, with persistent concerns related to transparency, accountability, and integrity in service delivery.</w:t>
      </w:r>
    </w:p>
    <w:p w14:paraId="5356C3EB" w14:textId="40FFEEA6" w:rsidR="00741074" w:rsidRPr="007F5C54" w:rsidRDefault="00741074" w:rsidP="007F5C54">
      <w:pPr>
        <w:pStyle w:val="NormalWeb"/>
        <w:jc w:val="both"/>
        <w:rPr>
          <w:rFonts w:ascii="Arial" w:hAnsi="Arial" w:cs="Arial"/>
          <w:sz w:val="20"/>
          <w:szCs w:val="20"/>
          <w:lang w:val="en-US"/>
        </w:rPr>
      </w:pPr>
      <w:r w:rsidRPr="00741074">
        <w:rPr>
          <w:rFonts w:ascii="Arial" w:hAnsi="Arial" w:cs="Arial"/>
          <w:sz w:val="20"/>
          <w:szCs w:val="20"/>
          <w:lang w:val="en-US"/>
        </w:rPr>
        <w:t>Since 2018, Switzerland has partnered with the World Bank (WB) and the Swiss Red Cross (SRC) to support the Republic of Moldova in advancing universal health coverage (UHC)</w:t>
      </w:r>
      <w:r w:rsidR="007F5C54">
        <w:rPr>
          <w:rFonts w:ascii="Arial" w:hAnsi="Arial" w:cs="Arial"/>
          <w:sz w:val="20"/>
          <w:szCs w:val="20"/>
          <w:lang w:val="en-US"/>
        </w:rPr>
        <w:t xml:space="preserve"> </w:t>
      </w:r>
      <w:bookmarkStart w:id="0" w:name="_Hlk216643129"/>
      <w:r w:rsidR="007F5C54">
        <w:rPr>
          <w:rFonts w:ascii="Arial" w:hAnsi="Arial" w:cs="Arial"/>
          <w:sz w:val="20"/>
          <w:szCs w:val="20"/>
          <w:lang w:val="en-US"/>
        </w:rPr>
        <w:t xml:space="preserve">via the Project </w:t>
      </w:r>
      <w:r w:rsidR="007F5C54" w:rsidRPr="007F5C54">
        <w:rPr>
          <w:rFonts w:ascii="Arial" w:hAnsi="Arial" w:cs="Arial"/>
          <w:sz w:val="20"/>
          <w:szCs w:val="20"/>
          <w:lang w:val="en-US"/>
        </w:rPr>
        <w:t>“</w:t>
      </w:r>
      <w:r w:rsidR="007F5C54" w:rsidRPr="007F5C54">
        <w:rPr>
          <w:rFonts w:ascii="Arial" w:eastAsiaTheme="minorEastAsia" w:hAnsi="Arial" w:cs="Arial"/>
          <w:sz w:val="20"/>
          <w:szCs w:val="20"/>
          <w:lang w:val="en-GB" w:eastAsia="zh-CN"/>
        </w:rPr>
        <w:t>Progressing towards Universal Health Coverage in Moldova</w:t>
      </w:r>
      <w:r w:rsidR="007F5C54" w:rsidRPr="007F5C54">
        <w:rPr>
          <w:rFonts w:ascii="Arial" w:hAnsi="Arial" w:cs="Arial"/>
          <w:sz w:val="20"/>
          <w:szCs w:val="20"/>
          <w:lang w:val="en-US"/>
        </w:rPr>
        <w:t>” (in short: the Project)</w:t>
      </w:r>
      <w:bookmarkEnd w:id="0"/>
      <w:r w:rsidRPr="007F5C54">
        <w:rPr>
          <w:rFonts w:ascii="Arial" w:hAnsi="Arial" w:cs="Arial"/>
          <w:sz w:val="20"/>
          <w:szCs w:val="20"/>
          <w:lang w:val="en-US"/>
        </w:rPr>
        <w:t>. T</w:t>
      </w:r>
      <w:r w:rsidRPr="00741074">
        <w:rPr>
          <w:rFonts w:ascii="Arial" w:hAnsi="Arial" w:cs="Arial"/>
          <w:sz w:val="20"/>
          <w:szCs w:val="20"/>
          <w:lang w:val="en-US"/>
        </w:rPr>
        <w:t>he first phase of Swiss support focused on generating evidence to inform health system reforms, including analytical work and policy recommendations to improve service delivery, align financial allocations with performance, revise the health benefits package, and pilot social accountability mechanisms in health institutions.</w:t>
      </w:r>
    </w:p>
    <w:p w14:paraId="42A7007D" w14:textId="442C9091" w:rsidR="00741074" w:rsidRPr="00741074" w:rsidRDefault="00741074" w:rsidP="00741074">
      <w:pPr>
        <w:pStyle w:val="NormalWeb"/>
        <w:jc w:val="both"/>
        <w:rPr>
          <w:rFonts w:ascii="Arial" w:hAnsi="Arial" w:cs="Arial"/>
          <w:sz w:val="20"/>
          <w:szCs w:val="20"/>
          <w:lang w:val="en-US"/>
        </w:rPr>
      </w:pPr>
      <w:r w:rsidRPr="00741074">
        <w:rPr>
          <w:rFonts w:ascii="Arial" w:hAnsi="Arial" w:cs="Arial"/>
          <w:sz w:val="20"/>
          <w:szCs w:val="20"/>
          <w:lang w:val="en-US"/>
        </w:rPr>
        <w:t xml:space="preserve">The second (current) phase of the </w:t>
      </w:r>
      <w:r w:rsidR="009A3EB4">
        <w:rPr>
          <w:rFonts w:ascii="Arial" w:hAnsi="Arial" w:cs="Arial"/>
          <w:sz w:val="20"/>
          <w:szCs w:val="20"/>
          <w:lang w:val="en-US"/>
        </w:rPr>
        <w:t>P</w:t>
      </w:r>
      <w:r w:rsidRPr="00741074">
        <w:rPr>
          <w:rFonts w:ascii="Arial" w:hAnsi="Arial" w:cs="Arial"/>
          <w:sz w:val="20"/>
          <w:szCs w:val="20"/>
          <w:lang w:val="en-US"/>
        </w:rPr>
        <w:t xml:space="preserve">roject focuses on the </w:t>
      </w:r>
      <w:r w:rsidRPr="00741074">
        <w:rPr>
          <w:rStyle w:val="Strong"/>
          <w:rFonts w:ascii="Arial" w:hAnsi="Arial" w:cs="Arial"/>
          <w:b w:val="0"/>
          <w:bCs w:val="0"/>
          <w:sz w:val="20"/>
          <w:szCs w:val="20"/>
          <w:lang w:val="en-US"/>
        </w:rPr>
        <w:t>implementation</w:t>
      </w:r>
      <w:r w:rsidRPr="00741074">
        <w:rPr>
          <w:rFonts w:ascii="Arial" w:hAnsi="Arial" w:cs="Arial"/>
          <w:sz w:val="20"/>
          <w:szCs w:val="20"/>
          <w:lang w:val="en-US"/>
        </w:rPr>
        <w:t xml:space="preserve"> of selected health system reforms. Priority areas include addressing fragmentation of services, improving resource distribution, strengthening access to quality healthcare for vulnerable groups, and scaling up social accountability mechanisms at national level. This </w:t>
      </w:r>
      <w:r w:rsidR="009A3EB4">
        <w:rPr>
          <w:rFonts w:ascii="Arial" w:hAnsi="Arial" w:cs="Arial"/>
          <w:sz w:val="20"/>
          <w:szCs w:val="20"/>
          <w:lang w:val="en-US"/>
        </w:rPr>
        <w:t>P</w:t>
      </w:r>
      <w:r w:rsidR="007F5C54">
        <w:rPr>
          <w:rFonts w:ascii="Arial" w:hAnsi="Arial" w:cs="Arial"/>
          <w:sz w:val="20"/>
          <w:szCs w:val="20"/>
          <w:lang w:val="en-US"/>
        </w:rPr>
        <w:t xml:space="preserve">roject </w:t>
      </w:r>
      <w:r w:rsidRPr="00741074">
        <w:rPr>
          <w:rFonts w:ascii="Arial" w:hAnsi="Arial" w:cs="Arial"/>
          <w:sz w:val="20"/>
          <w:szCs w:val="20"/>
          <w:lang w:val="en-US"/>
        </w:rPr>
        <w:t>phase also emphasizes translating evidence and recommendations into concrete policy, regulatory, and institutional changes that can be sustained within the national health system.</w:t>
      </w:r>
    </w:p>
    <w:p w14:paraId="1BCA8764" w14:textId="77777777" w:rsidR="00741074" w:rsidRPr="00741074" w:rsidRDefault="00741074" w:rsidP="00741074">
      <w:pPr>
        <w:pStyle w:val="NormalWeb"/>
        <w:jc w:val="both"/>
        <w:rPr>
          <w:rFonts w:ascii="Arial" w:hAnsi="Arial" w:cs="Arial"/>
          <w:sz w:val="20"/>
          <w:szCs w:val="20"/>
          <w:lang w:val="en-US"/>
        </w:rPr>
      </w:pPr>
      <w:r w:rsidRPr="00741074">
        <w:rPr>
          <w:rFonts w:ascii="Arial" w:hAnsi="Arial" w:cs="Arial"/>
          <w:sz w:val="20"/>
          <w:szCs w:val="20"/>
          <w:lang w:val="en-US"/>
        </w:rPr>
        <w:t xml:space="preserve">To ensure the effective transfer of policy recommendations into </w:t>
      </w:r>
      <w:r w:rsidRPr="00741074">
        <w:rPr>
          <w:rStyle w:val="Strong"/>
          <w:rFonts w:ascii="Arial" w:hAnsi="Arial" w:cs="Arial"/>
          <w:b w:val="0"/>
          <w:bCs w:val="0"/>
          <w:sz w:val="20"/>
          <w:szCs w:val="20"/>
          <w:lang w:val="en-US"/>
        </w:rPr>
        <w:t>actionable health policies, regulations, and reform initiatives</w:t>
      </w:r>
      <w:r w:rsidRPr="00741074">
        <w:rPr>
          <w:rFonts w:ascii="Arial" w:hAnsi="Arial" w:cs="Arial"/>
          <w:b/>
          <w:bCs/>
          <w:sz w:val="20"/>
          <w:szCs w:val="20"/>
          <w:lang w:val="en-US"/>
        </w:rPr>
        <w:t xml:space="preserve">, </w:t>
      </w:r>
      <w:r w:rsidRPr="00741074">
        <w:rPr>
          <w:rFonts w:ascii="Arial" w:hAnsi="Arial" w:cs="Arial"/>
          <w:sz w:val="20"/>
          <w:szCs w:val="20"/>
          <w:lang w:val="en-US"/>
        </w:rPr>
        <w:t>Switzerland will fund a seconded</w:t>
      </w:r>
      <w:r w:rsidRPr="00741074">
        <w:rPr>
          <w:rFonts w:ascii="Arial" w:hAnsi="Arial" w:cs="Arial"/>
          <w:b/>
          <w:bCs/>
          <w:sz w:val="20"/>
          <w:szCs w:val="20"/>
          <w:lang w:val="en-US"/>
        </w:rPr>
        <w:t xml:space="preserve"> </w:t>
      </w:r>
      <w:r w:rsidRPr="00741074">
        <w:rPr>
          <w:rStyle w:val="Strong"/>
          <w:rFonts w:ascii="Arial" w:hAnsi="Arial" w:cs="Arial"/>
          <w:b w:val="0"/>
          <w:bCs w:val="0"/>
          <w:sz w:val="20"/>
          <w:szCs w:val="20"/>
          <w:lang w:val="en-US"/>
        </w:rPr>
        <w:t>Policy Advisor on Universal</w:t>
      </w:r>
      <w:r w:rsidRPr="00741074">
        <w:rPr>
          <w:rStyle w:val="Strong"/>
          <w:rFonts w:ascii="Arial" w:hAnsi="Arial" w:cs="Arial"/>
          <w:sz w:val="20"/>
          <w:szCs w:val="20"/>
          <w:lang w:val="en-US"/>
        </w:rPr>
        <w:t xml:space="preserve"> </w:t>
      </w:r>
      <w:r w:rsidRPr="00741074">
        <w:rPr>
          <w:rStyle w:val="Strong"/>
          <w:rFonts w:ascii="Arial" w:hAnsi="Arial" w:cs="Arial"/>
          <w:b w:val="0"/>
          <w:bCs w:val="0"/>
          <w:sz w:val="20"/>
          <w:szCs w:val="20"/>
          <w:lang w:val="en-US"/>
        </w:rPr>
        <w:t>Health Coverage</w:t>
      </w:r>
      <w:r w:rsidRPr="00741074">
        <w:rPr>
          <w:rFonts w:ascii="Arial" w:hAnsi="Arial" w:cs="Arial"/>
          <w:sz w:val="20"/>
          <w:szCs w:val="20"/>
          <w:lang w:val="en-US"/>
        </w:rPr>
        <w:t>, embedded directly within the Ministry of Health (MoH). The Advisor will play a critical role in bridging the gap between high-level policy advice and the development, revision, and implementation of concrete reforms aligned with Moldova’s UHC objectives.</w:t>
      </w:r>
    </w:p>
    <w:p w14:paraId="43B8C1D9" w14:textId="77777777" w:rsidR="00741074" w:rsidRPr="00741074" w:rsidRDefault="00741074" w:rsidP="00741074">
      <w:pPr>
        <w:pStyle w:val="NormalWeb"/>
        <w:jc w:val="both"/>
        <w:rPr>
          <w:rFonts w:ascii="Arial" w:hAnsi="Arial" w:cs="Arial"/>
          <w:sz w:val="20"/>
          <w:szCs w:val="20"/>
          <w:lang w:val="en-US"/>
        </w:rPr>
      </w:pPr>
      <w:r w:rsidRPr="00741074">
        <w:rPr>
          <w:rFonts w:ascii="Arial" w:hAnsi="Arial" w:cs="Arial"/>
          <w:sz w:val="20"/>
          <w:szCs w:val="20"/>
          <w:lang w:val="en-US"/>
        </w:rPr>
        <w:t xml:space="preserve">Given that the successful implementation of UHC reforms increasingly depends on functional digital systems, reliable data flows, and effective monitoring mechanisms, the Policy Advisor on UHC will work </w:t>
      </w:r>
      <w:r w:rsidRPr="007F5C54">
        <w:rPr>
          <w:rStyle w:val="Strong"/>
          <w:rFonts w:ascii="Arial" w:hAnsi="Arial" w:cs="Arial"/>
          <w:b w:val="0"/>
          <w:bCs w:val="0"/>
          <w:sz w:val="20"/>
          <w:szCs w:val="20"/>
          <w:lang w:val="en-US"/>
        </w:rPr>
        <w:t xml:space="preserve">in </w:t>
      </w:r>
      <w:r w:rsidRPr="00741074">
        <w:rPr>
          <w:rStyle w:val="Strong"/>
          <w:rFonts w:ascii="Arial" w:hAnsi="Arial" w:cs="Arial"/>
          <w:b w:val="0"/>
          <w:bCs w:val="0"/>
          <w:sz w:val="20"/>
          <w:szCs w:val="20"/>
          <w:lang w:val="en-US"/>
        </w:rPr>
        <w:t>close coordination with a seconded Policy Advisor on Digitalization</w:t>
      </w:r>
      <w:r w:rsidRPr="00741074">
        <w:rPr>
          <w:rFonts w:ascii="Arial" w:hAnsi="Arial" w:cs="Arial"/>
          <w:sz w:val="20"/>
          <w:szCs w:val="20"/>
          <w:lang w:val="en-US"/>
        </w:rPr>
        <w:t>. While the UHC Policy Advisor focuses on policy content, regulatory frameworks, and reform design, the Digitalization Policy Advisor will support the digital and data-related enablers necessary to operationalize these reforms. This complementary arrangement ensures that UHC policies are not only well designed, but also feasible to implement, monitor, and sustain within Moldova’s evolving health system.</w:t>
      </w:r>
    </w:p>
    <w:p w14:paraId="21F1765A" w14:textId="7A5FE742" w:rsidR="00741074" w:rsidRPr="00741074" w:rsidRDefault="00741074" w:rsidP="00741074">
      <w:pPr>
        <w:pStyle w:val="NormalWeb"/>
        <w:jc w:val="both"/>
        <w:rPr>
          <w:rFonts w:ascii="Arial" w:hAnsi="Arial" w:cs="Arial"/>
          <w:sz w:val="20"/>
          <w:szCs w:val="20"/>
          <w:lang w:val="en-US"/>
        </w:rPr>
      </w:pPr>
      <w:r w:rsidRPr="00741074">
        <w:rPr>
          <w:rFonts w:ascii="Arial" w:hAnsi="Arial" w:cs="Arial"/>
          <w:sz w:val="20"/>
          <w:szCs w:val="20"/>
          <w:lang w:val="en-US"/>
        </w:rPr>
        <w:t xml:space="preserve">The Policy Advisor on UHC will work closely with relevant MoH departments, the Digitalization Policy Advisor, and </w:t>
      </w:r>
      <w:r w:rsidR="009A3EB4">
        <w:rPr>
          <w:rFonts w:ascii="Arial" w:hAnsi="Arial" w:cs="Arial"/>
          <w:sz w:val="20"/>
          <w:szCs w:val="20"/>
          <w:lang w:val="en-US"/>
        </w:rPr>
        <w:t>the P</w:t>
      </w:r>
      <w:r w:rsidRPr="00741074">
        <w:rPr>
          <w:rFonts w:ascii="Arial" w:hAnsi="Arial" w:cs="Arial"/>
          <w:sz w:val="20"/>
          <w:szCs w:val="20"/>
          <w:lang w:val="en-US"/>
        </w:rPr>
        <w:t>roject implementation partners</w:t>
      </w:r>
      <w:r w:rsidR="009A3EB4">
        <w:rPr>
          <w:rFonts w:ascii="Arial" w:hAnsi="Arial" w:cs="Arial"/>
          <w:sz w:val="20"/>
          <w:szCs w:val="20"/>
          <w:lang w:val="en-US"/>
        </w:rPr>
        <w:t xml:space="preserve"> WB and SRC</w:t>
      </w:r>
      <w:r w:rsidRPr="00741074">
        <w:rPr>
          <w:rFonts w:ascii="Arial" w:hAnsi="Arial" w:cs="Arial"/>
          <w:sz w:val="20"/>
          <w:szCs w:val="20"/>
          <w:lang w:val="en-US"/>
        </w:rPr>
        <w:t>, ensuring coherence between policy development, implementation mechanisms, and digital system readiness, while contributing to the long-term sustainability of Swiss-supported health reforms.</w:t>
      </w:r>
    </w:p>
    <w:p w14:paraId="6C8318F5" w14:textId="0A108F2C" w:rsidR="00944677" w:rsidRPr="00741074" w:rsidRDefault="00944677" w:rsidP="00125F90">
      <w:pPr>
        <w:pStyle w:val="Heading2"/>
        <w:keepLines/>
        <w:spacing w:before="200" w:line="276" w:lineRule="auto"/>
        <w:rPr>
          <w:rFonts w:eastAsiaTheme="majorEastAsia"/>
          <w:bCs/>
          <w:iCs w:val="0"/>
          <w:color w:val="4F81BD" w:themeColor="accent1"/>
          <w:kern w:val="0"/>
          <w:sz w:val="20"/>
          <w:szCs w:val="20"/>
          <w:lang w:val="en-GB"/>
        </w:rPr>
      </w:pPr>
      <w:r w:rsidRPr="00741074">
        <w:rPr>
          <w:rFonts w:eastAsiaTheme="majorEastAsia"/>
          <w:bCs/>
          <w:iCs w:val="0"/>
          <w:color w:val="4F81BD" w:themeColor="accent1"/>
          <w:kern w:val="0"/>
          <w:sz w:val="20"/>
          <w:szCs w:val="20"/>
          <w:lang w:val="en-GB"/>
        </w:rPr>
        <w:t>Objectiv</w:t>
      </w:r>
      <w:r w:rsidR="005A6C13" w:rsidRPr="00741074">
        <w:rPr>
          <w:rFonts w:eastAsiaTheme="majorEastAsia"/>
          <w:bCs/>
          <w:iCs w:val="0"/>
          <w:color w:val="4F81BD" w:themeColor="accent1"/>
          <w:kern w:val="0"/>
          <w:sz w:val="20"/>
          <w:szCs w:val="20"/>
          <w:lang w:val="en-GB"/>
        </w:rPr>
        <w:t>e</w:t>
      </w:r>
      <w:r w:rsidRPr="00741074">
        <w:rPr>
          <w:rFonts w:eastAsiaTheme="majorEastAsia"/>
          <w:bCs/>
          <w:iCs w:val="0"/>
          <w:color w:val="4F81BD" w:themeColor="accent1"/>
          <w:kern w:val="0"/>
          <w:sz w:val="20"/>
          <w:szCs w:val="20"/>
          <w:lang w:val="en-GB"/>
        </w:rPr>
        <w:t xml:space="preserve"> of the Assignment</w:t>
      </w:r>
    </w:p>
    <w:p w14:paraId="0E2557ED" w14:textId="2FDA32AA" w:rsidR="004A2865" w:rsidRPr="00741074" w:rsidRDefault="005A6C13" w:rsidP="006A097B">
      <w:pPr>
        <w:jc w:val="both"/>
        <w:rPr>
          <w:rFonts w:eastAsia="Times New Roman" w:cs="Arial"/>
          <w:szCs w:val="20"/>
          <w:lang w:val="en-GB" w:eastAsia="de-CH"/>
        </w:rPr>
      </w:pPr>
      <w:r w:rsidRPr="00741074">
        <w:rPr>
          <w:rFonts w:eastAsia="Times New Roman" w:cs="Arial"/>
          <w:szCs w:val="20"/>
          <w:lang w:val="en-GB" w:eastAsia="de-CH"/>
        </w:rPr>
        <w:t>The</w:t>
      </w:r>
      <w:r w:rsidR="00944677" w:rsidRPr="00741074">
        <w:rPr>
          <w:rFonts w:eastAsia="Times New Roman" w:cs="Arial"/>
          <w:szCs w:val="20"/>
          <w:lang w:val="en-GB" w:eastAsia="de-CH"/>
        </w:rPr>
        <w:t xml:space="preserve"> Policy Advisor</w:t>
      </w:r>
      <w:r w:rsidRPr="00741074">
        <w:rPr>
          <w:rFonts w:eastAsia="Times New Roman" w:cs="Arial"/>
          <w:szCs w:val="20"/>
          <w:lang w:val="en-GB" w:eastAsia="de-CH"/>
        </w:rPr>
        <w:t xml:space="preserve"> </w:t>
      </w:r>
      <w:r w:rsidR="00FE5624" w:rsidRPr="00741074">
        <w:rPr>
          <w:rFonts w:eastAsia="Times New Roman" w:cs="Arial"/>
          <w:szCs w:val="20"/>
          <w:lang w:val="en-GB" w:eastAsia="de-CH"/>
        </w:rPr>
        <w:t>s</w:t>
      </w:r>
      <w:r w:rsidR="00944677" w:rsidRPr="00741074">
        <w:rPr>
          <w:rFonts w:eastAsia="Times New Roman" w:cs="Arial"/>
          <w:szCs w:val="20"/>
          <w:lang w:val="en-GB" w:eastAsia="de-CH"/>
        </w:rPr>
        <w:t>upport</w:t>
      </w:r>
      <w:r w:rsidRPr="00741074">
        <w:rPr>
          <w:rFonts w:eastAsia="Times New Roman" w:cs="Arial"/>
          <w:szCs w:val="20"/>
          <w:lang w:val="en-GB" w:eastAsia="de-CH"/>
        </w:rPr>
        <w:t>s</w:t>
      </w:r>
      <w:r w:rsidR="00944677" w:rsidRPr="00741074">
        <w:rPr>
          <w:rFonts w:eastAsia="Times New Roman" w:cs="Arial"/>
          <w:szCs w:val="20"/>
          <w:lang w:val="en-GB" w:eastAsia="de-CH"/>
        </w:rPr>
        <w:t xml:space="preserve"> the </w:t>
      </w:r>
      <w:r w:rsidR="0024099D" w:rsidRPr="00741074">
        <w:rPr>
          <w:rFonts w:eastAsia="Times New Roman" w:cs="Arial"/>
          <w:szCs w:val="20"/>
          <w:lang w:val="en-GB" w:eastAsia="de-CH"/>
        </w:rPr>
        <w:t>MoH</w:t>
      </w:r>
      <w:r w:rsidR="00FE5624" w:rsidRPr="00741074">
        <w:rPr>
          <w:rFonts w:eastAsia="Times New Roman" w:cs="Arial"/>
          <w:szCs w:val="20"/>
          <w:lang w:val="en-GB" w:eastAsia="de-CH"/>
        </w:rPr>
        <w:t xml:space="preserve"> in transferring the policy recommendations from the </w:t>
      </w:r>
      <w:r w:rsidR="009A3EB4">
        <w:rPr>
          <w:rFonts w:eastAsia="Times New Roman" w:cs="Arial"/>
          <w:szCs w:val="20"/>
          <w:lang w:val="en-GB" w:eastAsia="de-CH"/>
        </w:rPr>
        <w:t>P</w:t>
      </w:r>
      <w:r w:rsidR="00FE5624" w:rsidRPr="00741074">
        <w:rPr>
          <w:rFonts w:eastAsia="Times New Roman" w:cs="Arial"/>
          <w:szCs w:val="20"/>
          <w:lang w:val="en-GB" w:eastAsia="de-CH"/>
        </w:rPr>
        <w:t xml:space="preserve">roject into </w:t>
      </w:r>
      <w:r w:rsidR="004A2865" w:rsidRPr="00741074">
        <w:rPr>
          <w:rFonts w:eastAsia="Times New Roman" w:cs="Arial"/>
          <w:szCs w:val="20"/>
          <w:lang w:val="en-GB" w:eastAsia="de-CH"/>
        </w:rPr>
        <w:t xml:space="preserve">development, </w:t>
      </w:r>
      <w:r w:rsidR="0024099D" w:rsidRPr="00741074">
        <w:rPr>
          <w:rFonts w:eastAsia="Times New Roman" w:cs="Arial"/>
          <w:szCs w:val="20"/>
          <w:lang w:val="en-GB" w:eastAsia="de-CH"/>
        </w:rPr>
        <w:t xml:space="preserve">revision / </w:t>
      </w:r>
      <w:r w:rsidR="004A2865" w:rsidRPr="00741074">
        <w:rPr>
          <w:rFonts w:eastAsia="Times New Roman" w:cs="Arial"/>
          <w:szCs w:val="20"/>
          <w:lang w:val="en-GB" w:eastAsia="de-CH"/>
        </w:rPr>
        <w:t>adaptation, and implementation of concrete health policies, regulations, and reform initiatives aimed at advancing UHC.</w:t>
      </w:r>
    </w:p>
    <w:p w14:paraId="54844BD1" w14:textId="4C93B2D1" w:rsidR="00944677" w:rsidRPr="00741074" w:rsidRDefault="00944677" w:rsidP="00125F90">
      <w:pPr>
        <w:pStyle w:val="Heading2"/>
        <w:keepLines/>
        <w:spacing w:before="200" w:line="276" w:lineRule="auto"/>
        <w:rPr>
          <w:rFonts w:eastAsiaTheme="majorEastAsia"/>
          <w:bCs/>
          <w:iCs w:val="0"/>
          <w:color w:val="4F81BD" w:themeColor="accent1"/>
          <w:kern w:val="0"/>
          <w:sz w:val="20"/>
          <w:szCs w:val="20"/>
          <w:lang w:val="en-GB"/>
        </w:rPr>
      </w:pPr>
      <w:r w:rsidRPr="00741074">
        <w:rPr>
          <w:rFonts w:eastAsiaTheme="majorEastAsia"/>
          <w:bCs/>
          <w:iCs w:val="0"/>
          <w:color w:val="4F81BD" w:themeColor="accent1"/>
          <w:kern w:val="0"/>
          <w:sz w:val="20"/>
          <w:szCs w:val="20"/>
          <w:lang w:val="en-GB"/>
        </w:rPr>
        <w:t>Key Responsibilities</w:t>
      </w:r>
    </w:p>
    <w:p w14:paraId="725D728E" w14:textId="77777777" w:rsidR="00944677" w:rsidRPr="00741074" w:rsidRDefault="00944677" w:rsidP="00847345">
      <w:pPr>
        <w:spacing w:before="120"/>
        <w:rPr>
          <w:rFonts w:eastAsia="Times New Roman" w:cs="Arial"/>
          <w:szCs w:val="20"/>
          <w:lang w:val="en-GB" w:eastAsia="de-CH"/>
        </w:rPr>
      </w:pPr>
      <w:r w:rsidRPr="00741074">
        <w:rPr>
          <w:rFonts w:eastAsia="Times New Roman" w:cs="Arial"/>
          <w:szCs w:val="20"/>
          <w:lang w:val="en-GB" w:eastAsia="de-CH"/>
        </w:rPr>
        <w:t>The seconded Policy Advisor will carry out the following tasks:</w:t>
      </w:r>
    </w:p>
    <w:tbl>
      <w:tblPr>
        <w:tblStyle w:val="TableGrid"/>
        <w:tblW w:w="5000" w:type="pct"/>
        <w:tblLook w:val="04A0" w:firstRow="1" w:lastRow="0" w:firstColumn="1" w:lastColumn="0" w:noHBand="0" w:noVBand="1"/>
      </w:tblPr>
      <w:tblGrid>
        <w:gridCol w:w="7224"/>
        <w:gridCol w:w="1793"/>
      </w:tblGrid>
      <w:tr w:rsidR="00F06B7F" w:rsidRPr="00741074" w14:paraId="57120F22" w14:textId="7CF7CE7C" w:rsidTr="00377486">
        <w:tc>
          <w:tcPr>
            <w:tcW w:w="4006" w:type="pct"/>
          </w:tcPr>
          <w:p w14:paraId="02F0484B" w14:textId="3310601B" w:rsidR="00F06B7F" w:rsidRPr="00741074" w:rsidRDefault="00B24201" w:rsidP="00A2453B">
            <w:pPr>
              <w:spacing w:before="120"/>
              <w:ind w:left="720"/>
              <w:rPr>
                <w:rFonts w:eastAsia="Times New Roman" w:cs="Arial"/>
                <w:b/>
                <w:bCs/>
                <w:szCs w:val="20"/>
                <w:lang w:val="en-GB" w:eastAsia="de-CH"/>
              </w:rPr>
            </w:pPr>
            <w:r w:rsidRPr="00741074">
              <w:rPr>
                <w:rFonts w:eastAsia="Times New Roman" w:cs="Arial"/>
                <w:b/>
                <w:bCs/>
                <w:szCs w:val="20"/>
                <w:lang w:val="en-GB" w:eastAsia="de-CH"/>
              </w:rPr>
              <w:lastRenderedPageBreak/>
              <w:t>Task</w:t>
            </w:r>
            <w:r w:rsidR="00517F08" w:rsidRPr="00741074">
              <w:rPr>
                <w:rFonts w:eastAsia="Times New Roman" w:cs="Arial"/>
                <w:b/>
                <w:bCs/>
                <w:szCs w:val="20"/>
                <w:lang w:val="en-GB" w:eastAsia="de-CH"/>
              </w:rPr>
              <w:t>s &amp; Deliverables</w:t>
            </w:r>
          </w:p>
        </w:tc>
        <w:tc>
          <w:tcPr>
            <w:tcW w:w="994" w:type="pct"/>
          </w:tcPr>
          <w:p w14:paraId="49B9536C" w14:textId="0ABFB8D4" w:rsidR="00F06B7F" w:rsidRPr="00741074" w:rsidRDefault="00F06B7F" w:rsidP="00377486">
            <w:pPr>
              <w:spacing w:before="120"/>
              <w:rPr>
                <w:rFonts w:eastAsia="Times New Roman" w:cs="Arial"/>
                <w:b/>
                <w:bCs/>
                <w:szCs w:val="20"/>
                <w:lang w:val="en-GB" w:eastAsia="de-CH"/>
              </w:rPr>
            </w:pPr>
            <w:r w:rsidRPr="00741074">
              <w:rPr>
                <w:rFonts w:eastAsia="Times New Roman" w:cs="Arial"/>
                <w:b/>
                <w:bCs/>
                <w:szCs w:val="20"/>
                <w:lang w:val="en-GB" w:eastAsia="de-CH"/>
              </w:rPr>
              <w:t>Full working days (</w:t>
            </w:r>
            <w:proofErr w:type="spellStart"/>
            <w:r w:rsidRPr="00741074">
              <w:rPr>
                <w:rFonts w:eastAsia="Times New Roman" w:cs="Arial"/>
                <w:b/>
                <w:bCs/>
                <w:szCs w:val="20"/>
                <w:lang w:val="en-GB" w:eastAsia="de-CH"/>
              </w:rPr>
              <w:t>fwd</w:t>
            </w:r>
            <w:proofErr w:type="spellEnd"/>
            <w:r w:rsidRPr="00741074">
              <w:rPr>
                <w:rFonts w:eastAsia="Times New Roman" w:cs="Arial"/>
                <w:b/>
                <w:bCs/>
                <w:szCs w:val="20"/>
                <w:lang w:val="en-GB" w:eastAsia="de-CH"/>
              </w:rPr>
              <w:t>)</w:t>
            </w:r>
            <w:r w:rsidRPr="00741074">
              <w:rPr>
                <w:rStyle w:val="FootnoteReference"/>
                <w:rFonts w:eastAsia="Times New Roman" w:cs="Arial"/>
                <w:b/>
                <w:bCs/>
                <w:szCs w:val="20"/>
                <w:lang w:val="en-GB" w:eastAsia="de-CH"/>
              </w:rPr>
              <w:footnoteReference w:id="1"/>
            </w:r>
          </w:p>
        </w:tc>
      </w:tr>
      <w:tr w:rsidR="00B24201" w:rsidRPr="00741074" w14:paraId="38A624F4" w14:textId="77777777" w:rsidTr="00377486">
        <w:tc>
          <w:tcPr>
            <w:tcW w:w="4006" w:type="pct"/>
          </w:tcPr>
          <w:p w14:paraId="6AF61C0D" w14:textId="2C60EA8F" w:rsidR="00B24201" w:rsidRPr="00741074" w:rsidRDefault="00B24201" w:rsidP="00C132F9">
            <w:pPr>
              <w:numPr>
                <w:ilvl w:val="0"/>
                <w:numId w:val="9"/>
              </w:numPr>
              <w:spacing w:before="120"/>
              <w:rPr>
                <w:rFonts w:eastAsia="Times New Roman" w:cs="Arial"/>
                <w:b/>
                <w:bCs/>
                <w:szCs w:val="20"/>
                <w:lang w:val="en-GB" w:eastAsia="de-CH"/>
              </w:rPr>
            </w:pPr>
            <w:r w:rsidRPr="00741074">
              <w:rPr>
                <w:rFonts w:eastAsia="Times New Roman" w:cs="Arial"/>
                <w:b/>
                <w:bCs/>
                <w:szCs w:val="20"/>
                <w:lang w:val="en-GB" w:eastAsia="de-CH"/>
              </w:rPr>
              <w:t>Policy and Regulatory Development</w:t>
            </w:r>
            <w:r w:rsidR="00BD1508" w:rsidRPr="00741074">
              <w:rPr>
                <w:rFonts w:eastAsia="Times New Roman" w:cs="Arial"/>
                <w:b/>
                <w:bCs/>
                <w:szCs w:val="20"/>
                <w:lang w:val="en-GB" w:eastAsia="de-CH"/>
              </w:rPr>
              <w:t xml:space="preserve"> and Implementation</w:t>
            </w:r>
            <w:r w:rsidRPr="00741074">
              <w:rPr>
                <w:rFonts w:eastAsia="Times New Roman" w:cs="Arial"/>
                <w:b/>
                <w:bCs/>
                <w:szCs w:val="20"/>
                <w:lang w:val="en-GB" w:eastAsia="de-CH"/>
              </w:rPr>
              <w:t>:</w:t>
            </w:r>
          </w:p>
        </w:tc>
        <w:tc>
          <w:tcPr>
            <w:tcW w:w="994" w:type="pct"/>
          </w:tcPr>
          <w:p w14:paraId="7E9F199A" w14:textId="77777777" w:rsidR="00B24201" w:rsidRPr="00741074" w:rsidRDefault="00B24201" w:rsidP="00F06B7F">
            <w:pPr>
              <w:spacing w:before="120"/>
              <w:ind w:left="360"/>
              <w:rPr>
                <w:rFonts w:eastAsia="Times New Roman" w:cs="Arial"/>
                <w:b/>
                <w:bCs/>
                <w:szCs w:val="20"/>
                <w:lang w:val="en-GB" w:eastAsia="de-CH"/>
              </w:rPr>
            </w:pPr>
          </w:p>
        </w:tc>
      </w:tr>
      <w:tr w:rsidR="00B24201" w:rsidRPr="00741074" w14:paraId="7E8EE369" w14:textId="65C2311F" w:rsidTr="00377486">
        <w:tc>
          <w:tcPr>
            <w:tcW w:w="4006" w:type="pct"/>
          </w:tcPr>
          <w:p w14:paraId="534E8A8C" w14:textId="31B9E21A" w:rsidR="00B24201" w:rsidRPr="00741074" w:rsidRDefault="00C215C8" w:rsidP="00A2453B">
            <w:pPr>
              <w:numPr>
                <w:ilvl w:val="1"/>
                <w:numId w:val="14"/>
              </w:numPr>
              <w:tabs>
                <w:tab w:val="clear" w:pos="1440"/>
                <w:tab w:val="num" w:pos="589"/>
              </w:tabs>
              <w:ind w:left="589" w:hanging="425"/>
              <w:rPr>
                <w:rFonts w:eastAsia="Times New Roman" w:cs="Arial"/>
                <w:szCs w:val="20"/>
                <w:lang w:val="en-GB" w:eastAsia="de-CH"/>
              </w:rPr>
            </w:pPr>
            <w:r w:rsidRPr="00741074">
              <w:rPr>
                <w:rFonts w:eastAsia="Times New Roman" w:cs="Arial"/>
                <w:szCs w:val="20"/>
                <w:lang w:val="en-GB" w:eastAsia="de-CH"/>
              </w:rPr>
              <w:t>Prioritize and f</w:t>
            </w:r>
            <w:r w:rsidR="00BD1508" w:rsidRPr="00741074">
              <w:rPr>
                <w:rFonts w:eastAsia="Times New Roman" w:cs="Arial"/>
                <w:szCs w:val="20"/>
                <w:lang w:val="en-GB" w:eastAsia="de-CH"/>
              </w:rPr>
              <w:t xml:space="preserve">acilitate the integration of the </w:t>
            </w:r>
            <w:r w:rsidR="009A3EB4">
              <w:rPr>
                <w:rFonts w:eastAsia="Times New Roman" w:cs="Arial"/>
                <w:szCs w:val="20"/>
                <w:lang w:val="en-GB" w:eastAsia="de-CH"/>
              </w:rPr>
              <w:t>P</w:t>
            </w:r>
            <w:r w:rsidR="00BD1508" w:rsidRPr="00741074">
              <w:rPr>
                <w:rFonts w:eastAsia="Times New Roman" w:cs="Arial"/>
                <w:szCs w:val="20"/>
                <w:lang w:val="en-GB" w:eastAsia="de-CH"/>
              </w:rPr>
              <w:t>roject’s policy recommendations into the M</w:t>
            </w:r>
            <w:r w:rsidR="009A3EB4">
              <w:rPr>
                <w:rFonts w:eastAsia="Times New Roman" w:cs="Arial"/>
                <w:szCs w:val="20"/>
                <w:lang w:val="en-GB" w:eastAsia="de-CH"/>
              </w:rPr>
              <w:t>oH</w:t>
            </w:r>
            <w:r w:rsidR="00BD1508" w:rsidRPr="00741074">
              <w:rPr>
                <w:rFonts w:eastAsia="Times New Roman" w:cs="Arial"/>
                <w:szCs w:val="20"/>
                <w:lang w:val="en-GB" w:eastAsia="de-CH"/>
              </w:rPr>
              <w:t>’s policy frameworks and reform agenda</w:t>
            </w:r>
            <w:r w:rsidR="00FD10CA" w:rsidRPr="00741074">
              <w:rPr>
                <w:rFonts w:eastAsia="Times New Roman" w:cs="Arial"/>
                <w:szCs w:val="20"/>
                <w:lang w:val="en-GB" w:eastAsia="de-CH"/>
              </w:rPr>
              <w:t xml:space="preserve">, </w:t>
            </w:r>
            <w:r w:rsidR="009A3EB4">
              <w:rPr>
                <w:rFonts w:eastAsia="Times New Roman" w:cs="Arial"/>
                <w:szCs w:val="20"/>
                <w:lang w:val="en-GB" w:eastAsia="de-CH"/>
              </w:rPr>
              <w:t>taking in due account the</w:t>
            </w:r>
            <w:r w:rsidR="00FD10CA" w:rsidRPr="00741074">
              <w:rPr>
                <w:rFonts w:eastAsia="Times New Roman" w:cs="Arial"/>
                <w:szCs w:val="20"/>
                <w:lang w:val="en-GB" w:eastAsia="de-CH"/>
              </w:rPr>
              <w:t xml:space="preserve"> EU integration</w:t>
            </w:r>
            <w:r w:rsidR="009A3EB4">
              <w:rPr>
                <w:rFonts w:eastAsia="Times New Roman" w:cs="Arial"/>
                <w:szCs w:val="20"/>
                <w:lang w:val="en-GB" w:eastAsia="de-CH"/>
              </w:rPr>
              <w:t xml:space="preserve"> process</w:t>
            </w:r>
            <w:r w:rsidR="00BD1508" w:rsidRPr="00741074">
              <w:rPr>
                <w:rFonts w:eastAsia="Times New Roman" w:cs="Arial"/>
                <w:szCs w:val="20"/>
                <w:lang w:val="en-GB" w:eastAsia="de-CH"/>
              </w:rPr>
              <w:t>.</w:t>
            </w:r>
          </w:p>
          <w:p w14:paraId="5B0C82FA" w14:textId="77777777" w:rsidR="00A37B52" w:rsidRPr="00741074" w:rsidRDefault="00A37B52" w:rsidP="00A37B52">
            <w:pPr>
              <w:ind w:left="589"/>
              <w:rPr>
                <w:rFonts w:eastAsia="Times New Roman" w:cs="Arial"/>
                <w:szCs w:val="20"/>
                <w:lang w:val="en-GB" w:eastAsia="de-CH"/>
              </w:rPr>
            </w:pPr>
          </w:p>
          <w:p w14:paraId="59A482AD" w14:textId="0DB12121" w:rsidR="00A37B52" w:rsidRPr="00741074" w:rsidRDefault="00A37B52" w:rsidP="00A37B52">
            <w:pPr>
              <w:ind w:left="589"/>
              <w:rPr>
                <w:rFonts w:eastAsia="Times New Roman" w:cs="Arial"/>
                <w:i/>
                <w:iCs/>
                <w:szCs w:val="20"/>
                <w:lang w:val="en-GB" w:eastAsia="de-CH"/>
              </w:rPr>
            </w:pPr>
            <w:r w:rsidRPr="00741074">
              <w:rPr>
                <w:rFonts w:eastAsia="Times New Roman" w:cs="Arial"/>
                <w:i/>
                <w:iCs/>
                <w:szCs w:val="20"/>
                <w:lang w:val="en-GB" w:eastAsia="de-CH"/>
              </w:rPr>
              <w:t>Deliverable</w:t>
            </w:r>
            <w:r w:rsidR="00377486" w:rsidRPr="00741074">
              <w:rPr>
                <w:rFonts w:eastAsia="Times New Roman" w:cs="Arial"/>
                <w:i/>
                <w:iCs/>
                <w:szCs w:val="20"/>
                <w:lang w:val="en-GB" w:eastAsia="de-CH"/>
              </w:rPr>
              <w:t>s</w:t>
            </w:r>
            <w:r w:rsidRPr="00741074">
              <w:rPr>
                <w:rFonts w:eastAsia="Times New Roman" w:cs="Arial"/>
                <w:i/>
                <w:iCs/>
                <w:szCs w:val="20"/>
                <w:lang w:val="en-GB" w:eastAsia="de-CH"/>
              </w:rPr>
              <w:t>:</w:t>
            </w:r>
          </w:p>
          <w:p w14:paraId="6ADB6A6E" w14:textId="3905034E" w:rsidR="00A37B52" w:rsidRPr="00741074" w:rsidRDefault="00A37B52" w:rsidP="00377486">
            <w:pPr>
              <w:pStyle w:val="ListParagraph"/>
              <w:numPr>
                <w:ilvl w:val="0"/>
                <w:numId w:val="29"/>
              </w:numPr>
              <w:ind w:left="731" w:hanging="142"/>
              <w:rPr>
                <w:rFonts w:eastAsia="Times New Roman" w:cs="Arial"/>
                <w:szCs w:val="20"/>
                <w:lang w:val="en-GB" w:eastAsia="de-CH"/>
              </w:rPr>
            </w:pPr>
            <w:r w:rsidRPr="00741074">
              <w:rPr>
                <w:rFonts w:eastAsia="Times New Roman" w:cs="Arial"/>
                <w:szCs w:val="20"/>
                <w:lang w:val="en-GB" w:eastAsia="de-CH"/>
              </w:rPr>
              <w:t>A</w:t>
            </w:r>
            <w:r w:rsidR="001C247B" w:rsidRPr="00741074">
              <w:rPr>
                <w:rFonts w:eastAsia="Times New Roman" w:cs="Arial"/>
                <w:szCs w:val="20"/>
                <w:lang w:val="en-GB" w:eastAsia="de-CH"/>
              </w:rPr>
              <w:t xml:space="preserve">n </w:t>
            </w:r>
            <w:r w:rsidRPr="00741074">
              <w:rPr>
                <w:rFonts w:eastAsia="Times New Roman" w:cs="Arial"/>
                <w:szCs w:val="20"/>
                <w:lang w:val="en-GB" w:eastAsia="de-CH"/>
              </w:rPr>
              <w:t xml:space="preserve">analytical note </w:t>
            </w:r>
            <w:r w:rsidR="00FC0B53" w:rsidRPr="00741074">
              <w:rPr>
                <w:rFonts w:eastAsia="Times New Roman" w:cs="Arial"/>
                <w:szCs w:val="20"/>
                <w:lang w:val="en-GB" w:eastAsia="de-CH"/>
              </w:rPr>
              <w:t>prioritizing the</w:t>
            </w:r>
            <w:r w:rsidRPr="00741074">
              <w:rPr>
                <w:rFonts w:eastAsia="Times New Roman" w:cs="Arial"/>
                <w:szCs w:val="20"/>
                <w:lang w:val="en-GB" w:eastAsia="de-CH"/>
              </w:rPr>
              <w:t xml:space="preserve"> UHC-related policy recommendations </w:t>
            </w:r>
            <w:r w:rsidR="00FC0B53" w:rsidRPr="00741074">
              <w:rPr>
                <w:rFonts w:eastAsia="Times New Roman" w:cs="Arial"/>
                <w:szCs w:val="20"/>
                <w:lang w:val="en-GB" w:eastAsia="de-CH"/>
              </w:rPr>
              <w:t>produced</w:t>
            </w:r>
            <w:r w:rsidRPr="00741074">
              <w:rPr>
                <w:rFonts w:eastAsia="Times New Roman" w:cs="Arial"/>
                <w:szCs w:val="20"/>
                <w:lang w:val="en-GB" w:eastAsia="de-CH"/>
              </w:rPr>
              <w:t xml:space="preserve"> by the project, their alignment with the MoH’s reform agenda and EU integration </w:t>
            </w:r>
            <w:r w:rsidR="00FC0B53" w:rsidRPr="00741074">
              <w:rPr>
                <w:rFonts w:eastAsia="Times New Roman" w:cs="Arial"/>
                <w:szCs w:val="20"/>
                <w:lang w:val="en-GB" w:eastAsia="de-CH"/>
              </w:rPr>
              <w:t>plan</w:t>
            </w:r>
            <w:r w:rsidRPr="00741074">
              <w:rPr>
                <w:rFonts w:eastAsia="Times New Roman" w:cs="Arial"/>
                <w:szCs w:val="20"/>
                <w:lang w:val="en-GB" w:eastAsia="de-CH"/>
              </w:rPr>
              <w:t>, and a proposed roadmap for their integration into national policy frameworks.</w:t>
            </w:r>
          </w:p>
        </w:tc>
        <w:tc>
          <w:tcPr>
            <w:tcW w:w="994" w:type="pct"/>
            <w:vMerge w:val="restart"/>
            <w:vAlign w:val="center"/>
          </w:tcPr>
          <w:p w14:paraId="65E358C3" w14:textId="5F0B530B" w:rsidR="00B24201" w:rsidRPr="00741074" w:rsidRDefault="00D91DF9" w:rsidP="00F27F07">
            <w:pPr>
              <w:jc w:val="center"/>
              <w:rPr>
                <w:rFonts w:eastAsia="Times New Roman" w:cs="Arial"/>
                <w:szCs w:val="20"/>
                <w:lang w:val="en-GB" w:eastAsia="de-CH"/>
              </w:rPr>
            </w:pPr>
            <w:r>
              <w:rPr>
                <w:rFonts w:eastAsia="Times New Roman" w:cs="Arial"/>
                <w:szCs w:val="20"/>
                <w:lang w:val="en-GB" w:eastAsia="de-CH"/>
              </w:rPr>
              <w:t>120</w:t>
            </w:r>
          </w:p>
        </w:tc>
      </w:tr>
      <w:tr w:rsidR="00BD1508" w:rsidRPr="00741074" w14:paraId="0D1CAF4B" w14:textId="77777777" w:rsidTr="00377486">
        <w:tc>
          <w:tcPr>
            <w:tcW w:w="4006" w:type="pct"/>
          </w:tcPr>
          <w:p w14:paraId="55BACA18" w14:textId="77777777" w:rsidR="00BD1508" w:rsidRPr="00741074" w:rsidRDefault="00BD1508" w:rsidP="00A2453B">
            <w:pPr>
              <w:numPr>
                <w:ilvl w:val="1"/>
                <w:numId w:val="14"/>
              </w:numPr>
              <w:tabs>
                <w:tab w:val="clear" w:pos="1440"/>
                <w:tab w:val="num" w:pos="589"/>
              </w:tabs>
              <w:ind w:left="589" w:hanging="425"/>
              <w:rPr>
                <w:rFonts w:eastAsia="Times New Roman" w:cs="Arial"/>
                <w:szCs w:val="20"/>
                <w:lang w:val="en-GB" w:eastAsia="de-CH"/>
              </w:rPr>
            </w:pPr>
            <w:r w:rsidRPr="00741074">
              <w:rPr>
                <w:rFonts w:eastAsia="Times New Roman" w:cs="Arial"/>
                <w:szCs w:val="20"/>
                <w:lang w:val="en-GB" w:eastAsia="de-CH"/>
              </w:rPr>
              <w:t>Ensure that the policy recommendations are adapted to the local context, considering the political, economic, and social factors that impact policy success.</w:t>
            </w:r>
          </w:p>
          <w:p w14:paraId="4DE94296" w14:textId="77777777" w:rsidR="001C247B" w:rsidRPr="00741074" w:rsidRDefault="001C247B" w:rsidP="001C247B">
            <w:pPr>
              <w:ind w:left="589"/>
              <w:rPr>
                <w:rFonts w:eastAsia="Times New Roman" w:cs="Arial"/>
                <w:szCs w:val="20"/>
                <w:lang w:val="en-GB" w:eastAsia="de-CH"/>
              </w:rPr>
            </w:pPr>
          </w:p>
          <w:p w14:paraId="3336E3D1" w14:textId="3904F17D" w:rsidR="001C247B" w:rsidRPr="00741074" w:rsidRDefault="001C247B" w:rsidP="001C247B">
            <w:pPr>
              <w:ind w:left="589"/>
              <w:rPr>
                <w:rFonts w:eastAsia="Times New Roman" w:cs="Arial"/>
                <w:i/>
                <w:iCs/>
                <w:szCs w:val="20"/>
                <w:lang w:val="en-GB" w:eastAsia="de-CH"/>
              </w:rPr>
            </w:pPr>
            <w:r w:rsidRPr="00741074">
              <w:rPr>
                <w:rFonts w:eastAsia="Times New Roman" w:cs="Arial"/>
                <w:i/>
                <w:iCs/>
                <w:szCs w:val="20"/>
                <w:lang w:val="en-GB" w:eastAsia="de-CH"/>
              </w:rPr>
              <w:t>Deliverable</w:t>
            </w:r>
            <w:r w:rsidR="00377486" w:rsidRPr="00741074">
              <w:rPr>
                <w:rFonts w:eastAsia="Times New Roman" w:cs="Arial"/>
                <w:i/>
                <w:iCs/>
                <w:szCs w:val="20"/>
                <w:lang w:val="en-GB" w:eastAsia="de-CH"/>
              </w:rPr>
              <w:t>s</w:t>
            </w:r>
            <w:r w:rsidRPr="00741074">
              <w:rPr>
                <w:rFonts w:eastAsia="Times New Roman" w:cs="Arial"/>
                <w:i/>
                <w:iCs/>
                <w:szCs w:val="20"/>
                <w:lang w:val="en-GB" w:eastAsia="de-CH"/>
              </w:rPr>
              <w:t>:</w:t>
            </w:r>
          </w:p>
          <w:p w14:paraId="42A42B1B" w14:textId="3B7EE640" w:rsidR="001C247B" w:rsidRPr="00741074" w:rsidRDefault="00FC0B53" w:rsidP="00377486">
            <w:pPr>
              <w:pStyle w:val="ListParagraph"/>
              <w:numPr>
                <w:ilvl w:val="0"/>
                <w:numId w:val="29"/>
              </w:numPr>
              <w:ind w:left="731" w:hanging="142"/>
              <w:rPr>
                <w:rFonts w:eastAsia="Times New Roman" w:cs="Arial"/>
                <w:szCs w:val="20"/>
                <w:lang w:val="en-GB" w:eastAsia="de-CH"/>
              </w:rPr>
            </w:pPr>
            <w:r w:rsidRPr="00741074">
              <w:rPr>
                <w:rFonts w:eastAsia="Times New Roman" w:cs="Arial"/>
                <w:szCs w:val="20"/>
                <w:lang w:val="en-GB" w:eastAsia="de-CH"/>
              </w:rPr>
              <w:t>Regular</w:t>
            </w:r>
            <w:r w:rsidR="001C247B" w:rsidRPr="00741074">
              <w:rPr>
                <w:rFonts w:eastAsia="Times New Roman" w:cs="Arial"/>
                <w:szCs w:val="20"/>
                <w:lang w:val="en-GB" w:eastAsia="de-CH"/>
              </w:rPr>
              <w:t xml:space="preserve"> written assessment</w:t>
            </w:r>
            <w:r w:rsidRPr="00741074">
              <w:rPr>
                <w:rFonts w:eastAsia="Times New Roman" w:cs="Arial"/>
                <w:szCs w:val="20"/>
                <w:lang w:val="en-GB" w:eastAsia="de-CH"/>
              </w:rPr>
              <w:t>s</w:t>
            </w:r>
            <w:r w:rsidR="001C247B" w:rsidRPr="00741074">
              <w:rPr>
                <w:rFonts w:eastAsia="Times New Roman" w:cs="Arial"/>
                <w:szCs w:val="20"/>
                <w:lang w:val="en-GB" w:eastAsia="de-CH"/>
              </w:rPr>
              <w:t xml:space="preserve"> demonstrating how proposed policy recommendations </w:t>
            </w:r>
            <w:r w:rsidRPr="00741074">
              <w:rPr>
                <w:rFonts w:eastAsia="Times New Roman" w:cs="Arial"/>
                <w:szCs w:val="20"/>
                <w:lang w:val="en-GB" w:eastAsia="de-CH"/>
              </w:rPr>
              <w:t>are</w:t>
            </w:r>
            <w:r w:rsidR="001C247B" w:rsidRPr="00741074">
              <w:rPr>
                <w:rFonts w:eastAsia="Times New Roman" w:cs="Arial"/>
                <w:szCs w:val="20"/>
                <w:lang w:val="en-GB" w:eastAsia="de-CH"/>
              </w:rPr>
              <w:t xml:space="preserve"> adapted to the national political, economic, and social context, including risk analysis and mitigation measures for successful implementation.</w:t>
            </w:r>
          </w:p>
        </w:tc>
        <w:tc>
          <w:tcPr>
            <w:tcW w:w="994" w:type="pct"/>
            <w:vMerge/>
          </w:tcPr>
          <w:p w14:paraId="2F167F41" w14:textId="77777777" w:rsidR="00BD1508" w:rsidRPr="00741074" w:rsidRDefault="00BD1508" w:rsidP="00A2453B">
            <w:pPr>
              <w:ind w:left="1077"/>
              <w:rPr>
                <w:rFonts w:eastAsia="Times New Roman" w:cs="Arial"/>
                <w:szCs w:val="20"/>
                <w:lang w:val="en-GB" w:eastAsia="de-CH"/>
              </w:rPr>
            </w:pPr>
          </w:p>
        </w:tc>
      </w:tr>
      <w:tr w:rsidR="00B24201" w:rsidRPr="00741074" w14:paraId="7C2768B3" w14:textId="05E0FA61" w:rsidTr="00377486">
        <w:tc>
          <w:tcPr>
            <w:tcW w:w="4006" w:type="pct"/>
          </w:tcPr>
          <w:p w14:paraId="4AF5A10F" w14:textId="0412D8D8" w:rsidR="00B24201" w:rsidRPr="00741074" w:rsidRDefault="00BD1508" w:rsidP="00A2453B">
            <w:pPr>
              <w:numPr>
                <w:ilvl w:val="1"/>
                <w:numId w:val="14"/>
              </w:numPr>
              <w:tabs>
                <w:tab w:val="clear" w:pos="1440"/>
                <w:tab w:val="num" w:pos="589"/>
              </w:tabs>
              <w:ind w:left="589" w:hanging="425"/>
              <w:rPr>
                <w:rFonts w:eastAsia="Times New Roman" w:cs="Arial"/>
                <w:szCs w:val="20"/>
                <w:lang w:val="en-GB" w:eastAsia="de-CH"/>
              </w:rPr>
            </w:pPr>
            <w:r w:rsidRPr="00741074">
              <w:rPr>
                <w:rFonts w:eastAsia="Times New Roman" w:cs="Arial"/>
                <w:szCs w:val="20"/>
                <w:lang w:val="en-GB" w:eastAsia="de-CH"/>
              </w:rPr>
              <w:t>Support the M</w:t>
            </w:r>
            <w:r w:rsidR="009A3EB4">
              <w:rPr>
                <w:rFonts w:eastAsia="Times New Roman" w:cs="Arial"/>
                <w:szCs w:val="20"/>
                <w:lang w:val="en-GB" w:eastAsia="de-CH"/>
              </w:rPr>
              <w:t>oH</w:t>
            </w:r>
            <w:r w:rsidRPr="00741074">
              <w:rPr>
                <w:rFonts w:eastAsia="Times New Roman" w:cs="Arial"/>
                <w:szCs w:val="20"/>
                <w:lang w:val="en-GB" w:eastAsia="de-CH"/>
              </w:rPr>
              <w:t xml:space="preserve"> in formulating/revising health policies, laws and regulations related to UHC, ensuring alignment with national priorities and international best practices</w:t>
            </w:r>
            <w:r w:rsidR="00FD10CA" w:rsidRPr="00741074">
              <w:rPr>
                <w:rFonts w:eastAsia="Times New Roman" w:cs="Arial"/>
                <w:szCs w:val="20"/>
                <w:lang w:val="en-GB" w:eastAsia="de-CH"/>
              </w:rPr>
              <w:t>.</w:t>
            </w:r>
          </w:p>
          <w:p w14:paraId="01B72764" w14:textId="77777777" w:rsidR="001C247B" w:rsidRPr="00741074" w:rsidRDefault="001C247B" w:rsidP="001C247B">
            <w:pPr>
              <w:ind w:left="589"/>
              <w:rPr>
                <w:rFonts w:eastAsia="Times New Roman" w:cs="Arial"/>
                <w:szCs w:val="20"/>
                <w:lang w:val="en-GB" w:eastAsia="de-CH"/>
              </w:rPr>
            </w:pPr>
          </w:p>
          <w:p w14:paraId="4E1848B2" w14:textId="187C1FD2" w:rsidR="001C247B" w:rsidRPr="00741074" w:rsidRDefault="001C247B" w:rsidP="001C247B">
            <w:pPr>
              <w:ind w:left="589"/>
              <w:rPr>
                <w:rFonts w:eastAsia="Times New Roman" w:cs="Arial"/>
                <w:i/>
                <w:iCs/>
                <w:szCs w:val="20"/>
                <w:lang w:val="en-GB" w:eastAsia="de-CH"/>
              </w:rPr>
            </w:pPr>
            <w:r w:rsidRPr="00741074">
              <w:rPr>
                <w:rFonts w:eastAsia="Times New Roman" w:cs="Arial"/>
                <w:i/>
                <w:iCs/>
                <w:szCs w:val="20"/>
                <w:lang w:val="en-GB" w:eastAsia="de-CH"/>
              </w:rPr>
              <w:t>Deliverables:</w:t>
            </w:r>
          </w:p>
          <w:p w14:paraId="3D5F6377" w14:textId="7C1312E3" w:rsidR="001C247B" w:rsidRPr="00741074" w:rsidRDefault="001C247B" w:rsidP="001C247B">
            <w:pPr>
              <w:pStyle w:val="ListParagraph"/>
              <w:numPr>
                <w:ilvl w:val="0"/>
                <w:numId w:val="29"/>
              </w:numPr>
              <w:ind w:left="731" w:hanging="142"/>
              <w:rPr>
                <w:rFonts w:eastAsia="Times New Roman" w:cs="Arial"/>
                <w:szCs w:val="20"/>
                <w:lang w:val="en-GB" w:eastAsia="de-CH"/>
              </w:rPr>
            </w:pPr>
            <w:r w:rsidRPr="00741074">
              <w:rPr>
                <w:rFonts w:eastAsia="Times New Roman" w:cs="Arial"/>
                <w:szCs w:val="20"/>
                <w:lang w:val="en-GB" w:eastAsia="de-CH"/>
              </w:rPr>
              <w:t>Draft health policies, strategies, laws, regulations, or normative acts related to UHC, developed or updated with the MoH, ensuring alignment with national priorities, EU acquis (where relevant), and international best practices.</w:t>
            </w:r>
          </w:p>
          <w:p w14:paraId="3D4ADDAF" w14:textId="0F90FCAE" w:rsidR="001C247B" w:rsidRPr="00741074" w:rsidRDefault="001C247B" w:rsidP="001C247B">
            <w:pPr>
              <w:pStyle w:val="ListParagraph"/>
              <w:numPr>
                <w:ilvl w:val="0"/>
                <w:numId w:val="29"/>
              </w:numPr>
              <w:ind w:left="731" w:hanging="142"/>
              <w:rPr>
                <w:rFonts w:eastAsia="Times New Roman" w:cs="Arial"/>
                <w:szCs w:val="20"/>
                <w:lang w:val="en-GB" w:eastAsia="de-CH"/>
              </w:rPr>
            </w:pPr>
            <w:r w:rsidRPr="00741074">
              <w:rPr>
                <w:rFonts w:eastAsia="Times New Roman" w:cs="Arial"/>
                <w:szCs w:val="20"/>
                <w:lang w:val="en-GB" w:eastAsia="de-CH"/>
              </w:rPr>
              <w:t>Accompanying explanatory notes or policy justifications as required by the M</w:t>
            </w:r>
            <w:r w:rsidR="009A3EB4">
              <w:rPr>
                <w:rFonts w:eastAsia="Times New Roman" w:cs="Arial"/>
                <w:szCs w:val="20"/>
                <w:lang w:val="en-GB" w:eastAsia="de-CH"/>
              </w:rPr>
              <w:t>oH</w:t>
            </w:r>
            <w:r w:rsidRPr="00741074">
              <w:rPr>
                <w:rFonts w:eastAsia="Times New Roman" w:cs="Arial"/>
                <w:szCs w:val="20"/>
                <w:lang w:val="en-GB" w:eastAsia="de-CH"/>
              </w:rPr>
              <w:t>.</w:t>
            </w:r>
          </w:p>
        </w:tc>
        <w:tc>
          <w:tcPr>
            <w:tcW w:w="994" w:type="pct"/>
            <w:vMerge/>
          </w:tcPr>
          <w:p w14:paraId="22F21349" w14:textId="77777777" w:rsidR="00B24201" w:rsidRPr="00741074" w:rsidRDefault="00B24201" w:rsidP="006A097B">
            <w:pPr>
              <w:ind w:left="1077"/>
              <w:rPr>
                <w:rFonts w:eastAsia="Times New Roman" w:cs="Arial"/>
                <w:szCs w:val="20"/>
                <w:lang w:val="en-GB" w:eastAsia="de-CH"/>
              </w:rPr>
            </w:pPr>
          </w:p>
        </w:tc>
      </w:tr>
      <w:tr w:rsidR="00F06B7F" w:rsidRPr="00741074" w14:paraId="0A283453" w14:textId="3BDAAC44" w:rsidTr="00377486">
        <w:tc>
          <w:tcPr>
            <w:tcW w:w="4006" w:type="pct"/>
          </w:tcPr>
          <w:p w14:paraId="0EE88AF9" w14:textId="77777777" w:rsidR="00F06B7F" w:rsidRPr="00741074" w:rsidRDefault="00F06B7F" w:rsidP="00C132F9">
            <w:pPr>
              <w:numPr>
                <w:ilvl w:val="0"/>
                <w:numId w:val="9"/>
              </w:numPr>
              <w:spacing w:before="120"/>
              <w:rPr>
                <w:rFonts w:eastAsia="Times New Roman" w:cs="Arial"/>
                <w:szCs w:val="20"/>
                <w:lang w:val="en-GB" w:eastAsia="de-CH"/>
              </w:rPr>
            </w:pPr>
            <w:r w:rsidRPr="00741074">
              <w:rPr>
                <w:rFonts w:eastAsia="Times New Roman" w:cs="Arial"/>
                <w:b/>
                <w:bCs/>
                <w:szCs w:val="20"/>
                <w:lang w:val="en-GB" w:eastAsia="de-CH"/>
              </w:rPr>
              <w:t>Coordination and Stakeholder Engagement:</w:t>
            </w:r>
          </w:p>
        </w:tc>
        <w:tc>
          <w:tcPr>
            <w:tcW w:w="994" w:type="pct"/>
          </w:tcPr>
          <w:p w14:paraId="4F0F70E3" w14:textId="77777777" w:rsidR="00F06B7F" w:rsidRPr="00741074" w:rsidRDefault="00F06B7F" w:rsidP="00A2453B">
            <w:pPr>
              <w:spacing w:before="120"/>
              <w:ind w:left="360"/>
              <w:rPr>
                <w:rFonts w:eastAsia="Times New Roman" w:cs="Arial"/>
                <w:b/>
                <w:bCs/>
                <w:szCs w:val="20"/>
                <w:lang w:val="en-GB" w:eastAsia="de-CH"/>
              </w:rPr>
            </w:pPr>
          </w:p>
        </w:tc>
      </w:tr>
      <w:tr w:rsidR="00B24201" w:rsidRPr="00741074" w14:paraId="207C3389" w14:textId="1E6A998C" w:rsidTr="00377486">
        <w:tc>
          <w:tcPr>
            <w:tcW w:w="4006" w:type="pct"/>
          </w:tcPr>
          <w:p w14:paraId="08B806CE" w14:textId="135AA7C0" w:rsidR="00B24201" w:rsidRPr="00741074" w:rsidRDefault="00BD1508" w:rsidP="00A37B52">
            <w:pPr>
              <w:numPr>
                <w:ilvl w:val="1"/>
                <w:numId w:val="14"/>
              </w:numPr>
              <w:tabs>
                <w:tab w:val="clear" w:pos="1440"/>
                <w:tab w:val="num" w:pos="589"/>
              </w:tabs>
              <w:ind w:left="589" w:hanging="425"/>
              <w:rPr>
                <w:rFonts w:eastAsia="Times New Roman" w:cs="Arial"/>
                <w:szCs w:val="20"/>
                <w:lang w:val="en-GB" w:eastAsia="de-CH"/>
              </w:rPr>
            </w:pPr>
            <w:r w:rsidRPr="00741074">
              <w:rPr>
                <w:rFonts w:eastAsia="Times New Roman" w:cs="Arial"/>
                <w:szCs w:val="20"/>
                <w:lang w:val="en-GB" w:eastAsia="de-CH"/>
              </w:rPr>
              <w:t>Coordinate efforts with other technical advisors, M</w:t>
            </w:r>
            <w:r w:rsidR="009A3EB4">
              <w:rPr>
                <w:rFonts w:eastAsia="Times New Roman" w:cs="Arial"/>
                <w:szCs w:val="20"/>
                <w:lang w:val="en-GB" w:eastAsia="de-CH"/>
              </w:rPr>
              <w:t>oH</w:t>
            </w:r>
            <w:r w:rsidRPr="00741074">
              <w:rPr>
                <w:rFonts w:eastAsia="Times New Roman" w:cs="Arial"/>
                <w:szCs w:val="20"/>
                <w:lang w:val="en-GB" w:eastAsia="de-CH"/>
              </w:rPr>
              <w:t xml:space="preserve"> departments, and development partners to ensure coherence in policy reform processes.</w:t>
            </w:r>
          </w:p>
          <w:p w14:paraId="266EDF91" w14:textId="77777777" w:rsidR="001C247B" w:rsidRPr="00741074" w:rsidRDefault="001C247B" w:rsidP="001C247B">
            <w:pPr>
              <w:ind w:left="589"/>
              <w:rPr>
                <w:rFonts w:eastAsia="Times New Roman" w:cs="Arial"/>
                <w:i/>
                <w:iCs/>
                <w:szCs w:val="20"/>
                <w:lang w:val="en-GB" w:eastAsia="de-CH"/>
              </w:rPr>
            </w:pPr>
          </w:p>
          <w:p w14:paraId="10A663E1" w14:textId="5A52680F" w:rsidR="001C247B" w:rsidRPr="00741074" w:rsidRDefault="001C247B" w:rsidP="001C247B">
            <w:pPr>
              <w:ind w:left="589"/>
              <w:rPr>
                <w:rFonts w:eastAsia="Times New Roman" w:cs="Arial"/>
                <w:i/>
                <w:iCs/>
                <w:szCs w:val="20"/>
                <w:lang w:val="en-GB" w:eastAsia="de-CH"/>
              </w:rPr>
            </w:pPr>
            <w:r w:rsidRPr="00741074">
              <w:rPr>
                <w:rFonts w:eastAsia="Times New Roman" w:cs="Arial"/>
                <w:i/>
                <w:iCs/>
                <w:szCs w:val="20"/>
                <w:lang w:val="en-GB" w:eastAsia="de-CH"/>
              </w:rPr>
              <w:t>Deliverables:</w:t>
            </w:r>
          </w:p>
          <w:p w14:paraId="436BFAAA" w14:textId="599B7B52" w:rsidR="001C247B" w:rsidRPr="00741074" w:rsidRDefault="001C247B" w:rsidP="00377486">
            <w:pPr>
              <w:pStyle w:val="ListParagraph"/>
              <w:numPr>
                <w:ilvl w:val="0"/>
                <w:numId w:val="29"/>
              </w:numPr>
              <w:ind w:left="731" w:hanging="142"/>
              <w:rPr>
                <w:rFonts w:eastAsia="Times New Roman" w:cs="Arial"/>
                <w:szCs w:val="20"/>
                <w:lang w:val="en-GB" w:eastAsia="de-CH"/>
              </w:rPr>
            </w:pPr>
            <w:r w:rsidRPr="00741074">
              <w:rPr>
                <w:rFonts w:eastAsia="Times New Roman" w:cs="Arial"/>
                <w:szCs w:val="20"/>
                <w:lang w:val="en-GB" w:eastAsia="de-CH"/>
              </w:rPr>
              <w:t>A</w:t>
            </w:r>
            <w:r w:rsidR="00F660D5" w:rsidRPr="00741074">
              <w:rPr>
                <w:rFonts w:eastAsia="Times New Roman" w:cs="Arial"/>
                <w:szCs w:val="20"/>
                <w:lang w:val="en-GB" w:eastAsia="de-CH"/>
              </w:rPr>
              <w:t xml:space="preserve">n </w:t>
            </w:r>
            <w:proofErr w:type="gramStart"/>
            <w:r w:rsidR="00F660D5" w:rsidRPr="00741074">
              <w:rPr>
                <w:rFonts w:eastAsia="Times New Roman" w:cs="Arial"/>
                <w:szCs w:val="20"/>
                <w:lang w:val="en-GB" w:eastAsia="de-CH"/>
              </w:rPr>
              <w:t>overall coordination</w:t>
            </w:r>
            <w:r w:rsidRPr="00741074">
              <w:rPr>
                <w:rFonts w:eastAsia="Times New Roman" w:cs="Arial"/>
                <w:szCs w:val="20"/>
                <w:lang w:val="en-GB" w:eastAsia="de-CH"/>
              </w:rPr>
              <w:t xml:space="preserve"> plan outlining key stakeholders</w:t>
            </w:r>
            <w:proofErr w:type="gramEnd"/>
            <w:r w:rsidRPr="00741074">
              <w:rPr>
                <w:rFonts w:eastAsia="Times New Roman" w:cs="Arial"/>
                <w:szCs w:val="20"/>
                <w:lang w:val="en-GB" w:eastAsia="de-CH"/>
              </w:rPr>
              <w:t>, coordination mechanisms, roles, and timelines to ensure coherence among M</w:t>
            </w:r>
            <w:r w:rsidR="009A3EB4">
              <w:rPr>
                <w:rFonts w:eastAsia="Times New Roman" w:cs="Arial"/>
                <w:szCs w:val="20"/>
                <w:lang w:val="en-GB" w:eastAsia="de-CH"/>
              </w:rPr>
              <w:t>oH</w:t>
            </w:r>
            <w:r w:rsidRPr="00741074">
              <w:rPr>
                <w:rFonts w:eastAsia="Times New Roman" w:cs="Arial"/>
                <w:szCs w:val="20"/>
                <w:lang w:val="en-GB" w:eastAsia="de-CH"/>
              </w:rPr>
              <w:t xml:space="preserve"> departments, technical advisors, and development partners involved in UHC-related reforms.</w:t>
            </w:r>
          </w:p>
        </w:tc>
        <w:tc>
          <w:tcPr>
            <w:tcW w:w="994" w:type="pct"/>
            <w:vMerge w:val="restart"/>
            <w:vAlign w:val="center"/>
          </w:tcPr>
          <w:p w14:paraId="7A91449B" w14:textId="016A71EB" w:rsidR="00B24201" w:rsidRPr="00741074" w:rsidRDefault="00D91DF9" w:rsidP="00F27F07">
            <w:pPr>
              <w:jc w:val="center"/>
              <w:rPr>
                <w:rFonts w:eastAsia="Times New Roman" w:cs="Arial"/>
                <w:szCs w:val="20"/>
                <w:lang w:val="en-GB" w:eastAsia="de-CH"/>
              </w:rPr>
            </w:pPr>
            <w:r>
              <w:rPr>
                <w:rFonts w:eastAsia="Times New Roman" w:cs="Arial"/>
                <w:szCs w:val="20"/>
                <w:lang w:val="en-GB" w:eastAsia="de-CH"/>
              </w:rPr>
              <w:t>8</w:t>
            </w:r>
            <w:r w:rsidR="00F27F07" w:rsidRPr="00741074">
              <w:rPr>
                <w:rFonts w:eastAsia="Times New Roman" w:cs="Arial"/>
                <w:szCs w:val="20"/>
                <w:lang w:val="en-GB" w:eastAsia="de-CH"/>
              </w:rPr>
              <w:t>0</w:t>
            </w:r>
          </w:p>
        </w:tc>
      </w:tr>
      <w:tr w:rsidR="00B24201" w:rsidRPr="00741074" w14:paraId="285FF6AB" w14:textId="3201E9B7" w:rsidTr="00377486">
        <w:tc>
          <w:tcPr>
            <w:tcW w:w="4006" w:type="pct"/>
          </w:tcPr>
          <w:p w14:paraId="744A04AB" w14:textId="77777777" w:rsidR="00B24201" w:rsidRPr="00741074" w:rsidRDefault="00BD1508" w:rsidP="00A37B52">
            <w:pPr>
              <w:numPr>
                <w:ilvl w:val="1"/>
                <w:numId w:val="14"/>
              </w:numPr>
              <w:tabs>
                <w:tab w:val="clear" w:pos="1440"/>
                <w:tab w:val="num" w:pos="589"/>
              </w:tabs>
              <w:ind w:left="589" w:hanging="425"/>
              <w:rPr>
                <w:rFonts w:eastAsia="Times New Roman" w:cs="Arial"/>
                <w:szCs w:val="20"/>
                <w:lang w:val="en-GB" w:eastAsia="de-CH"/>
              </w:rPr>
            </w:pPr>
            <w:r w:rsidRPr="00741074">
              <w:rPr>
                <w:rFonts w:eastAsia="Times New Roman" w:cs="Arial"/>
                <w:szCs w:val="20"/>
                <w:lang w:val="en-GB" w:eastAsia="de-CH"/>
              </w:rPr>
              <w:t>Organize technical working groups, consultations, and meetings to gather input from relevant stakeholders and build consensus on key policy issues.</w:t>
            </w:r>
          </w:p>
          <w:p w14:paraId="75F3EC62" w14:textId="77777777" w:rsidR="001C247B" w:rsidRPr="00741074" w:rsidRDefault="001C247B" w:rsidP="001C247B">
            <w:pPr>
              <w:ind w:left="589"/>
              <w:rPr>
                <w:rFonts w:eastAsia="Times New Roman" w:cs="Arial"/>
                <w:i/>
                <w:iCs/>
                <w:szCs w:val="20"/>
                <w:lang w:val="en-GB" w:eastAsia="de-CH"/>
              </w:rPr>
            </w:pPr>
          </w:p>
          <w:p w14:paraId="508AB692" w14:textId="3D475E28" w:rsidR="001C247B" w:rsidRPr="00741074" w:rsidRDefault="001C247B" w:rsidP="001C247B">
            <w:pPr>
              <w:ind w:left="589"/>
              <w:rPr>
                <w:rFonts w:eastAsia="Times New Roman" w:cs="Arial"/>
                <w:i/>
                <w:iCs/>
                <w:szCs w:val="20"/>
                <w:lang w:val="en-GB" w:eastAsia="de-CH"/>
              </w:rPr>
            </w:pPr>
            <w:r w:rsidRPr="00741074">
              <w:rPr>
                <w:rFonts w:eastAsia="Times New Roman" w:cs="Arial"/>
                <w:i/>
                <w:iCs/>
                <w:szCs w:val="20"/>
                <w:lang w:val="en-GB" w:eastAsia="de-CH"/>
              </w:rPr>
              <w:t>Deliverables:</w:t>
            </w:r>
          </w:p>
          <w:p w14:paraId="57D1D833" w14:textId="4FDC70DB" w:rsidR="001C247B" w:rsidRPr="00741074" w:rsidRDefault="001C247B" w:rsidP="007D2D97">
            <w:pPr>
              <w:pStyle w:val="ListParagraph"/>
              <w:numPr>
                <w:ilvl w:val="0"/>
                <w:numId w:val="29"/>
              </w:numPr>
              <w:ind w:left="731" w:hanging="142"/>
              <w:rPr>
                <w:rFonts w:eastAsia="Times New Roman" w:cs="Arial"/>
                <w:szCs w:val="20"/>
                <w:lang w:val="en-GB" w:eastAsia="de-CH"/>
              </w:rPr>
            </w:pPr>
            <w:r w:rsidRPr="00741074">
              <w:rPr>
                <w:rFonts w:eastAsia="Times New Roman" w:cs="Arial"/>
                <w:szCs w:val="20"/>
                <w:lang w:val="en-GB" w:eastAsia="de-CH"/>
              </w:rPr>
              <w:t xml:space="preserve">Documentation from technical working groups, consultations, and coordination meetings, including agendas, participant lists, minutes, and summary notes capturing key </w:t>
            </w:r>
            <w:r w:rsidR="007D2D97" w:rsidRPr="00741074">
              <w:rPr>
                <w:rFonts w:eastAsia="Times New Roman" w:cs="Arial"/>
                <w:szCs w:val="20"/>
                <w:lang w:val="en-GB" w:eastAsia="de-CH"/>
              </w:rPr>
              <w:t xml:space="preserve">stakeholder feedback &amp; </w:t>
            </w:r>
            <w:r w:rsidRPr="00741074">
              <w:rPr>
                <w:rFonts w:eastAsia="Times New Roman" w:cs="Arial"/>
                <w:szCs w:val="20"/>
                <w:lang w:val="en-GB" w:eastAsia="de-CH"/>
              </w:rPr>
              <w:t>inputs, agreements, and outstanding issues.</w:t>
            </w:r>
          </w:p>
        </w:tc>
        <w:tc>
          <w:tcPr>
            <w:tcW w:w="994" w:type="pct"/>
            <w:vMerge/>
          </w:tcPr>
          <w:p w14:paraId="0E6FF19E" w14:textId="77777777" w:rsidR="00B24201" w:rsidRPr="00741074" w:rsidRDefault="00B24201" w:rsidP="00ED6825">
            <w:pPr>
              <w:ind w:left="1077"/>
              <w:rPr>
                <w:rFonts w:eastAsia="Times New Roman" w:cs="Arial"/>
                <w:szCs w:val="20"/>
                <w:lang w:val="en-GB" w:eastAsia="de-CH"/>
              </w:rPr>
            </w:pPr>
          </w:p>
        </w:tc>
      </w:tr>
      <w:tr w:rsidR="00F06B7F" w:rsidRPr="00741074" w14:paraId="150993E9" w14:textId="41814086" w:rsidTr="00377486">
        <w:tc>
          <w:tcPr>
            <w:tcW w:w="4006" w:type="pct"/>
          </w:tcPr>
          <w:p w14:paraId="2A0ECE35" w14:textId="01D09AE2" w:rsidR="00F06B7F" w:rsidRPr="00741074" w:rsidRDefault="00F06B7F" w:rsidP="00C132F9">
            <w:pPr>
              <w:numPr>
                <w:ilvl w:val="0"/>
                <w:numId w:val="9"/>
              </w:numPr>
              <w:spacing w:before="120"/>
              <w:rPr>
                <w:rFonts w:eastAsia="Times New Roman" w:cs="Arial"/>
                <w:szCs w:val="20"/>
                <w:lang w:val="en-GB" w:eastAsia="de-CH"/>
              </w:rPr>
            </w:pPr>
            <w:r w:rsidRPr="00741074">
              <w:rPr>
                <w:rFonts w:eastAsia="Times New Roman" w:cs="Arial"/>
                <w:b/>
                <w:bCs/>
                <w:szCs w:val="20"/>
                <w:lang w:val="en-GB" w:eastAsia="de-CH"/>
              </w:rPr>
              <w:t>Monitoring</w:t>
            </w:r>
            <w:r w:rsidR="00097072" w:rsidRPr="00741074">
              <w:rPr>
                <w:rFonts w:eastAsia="Times New Roman" w:cs="Arial"/>
                <w:b/>
                <w:bCs/>
                <w:szCs w:val="20"/>
                <w:lang w:val="en-GB" w:eastAsia="de-CH"/>
              </w:rPr>
              <w:t xml:space="preserve"> &amp; Evaluation</w:t>
            </w:r>
            <w:r w:rsidR="009A3EB4">
              <w:rPr>
                <w:rFonts w:eastAsia="Times New Roman" w:cs="Arial"/>
                <w:b/>
                <w:bCs/>
                <w:szCs w:val="20"/>
                <w:lang w:val="en-GB" w:eastAsia="de-CH"/>
              </w:rPr>
              <w:t xml:space="preserve"> (M&amp;E)</w:t>
            </w:r>
            <w:r w:rsidRPr="00741074">
              <w:rPr>
                <w:rFonts w:eastAsia="Times New Roman" w:cs="Arial"/>
                <w:b/>
                <w:bCs/>
                <w:szCs w:val="20"/>
                <w:lang w:val="en-GB" w:eastAsia="de-CH"/>
              </w:rPr>
              <w:t>:</w:t>
            </w:r>
          </w:p>
        </w:tc>
        <w:tc>
          <w:tcPr>
            <w:tcW w:w="994" w:type="pct"/>
          </w:tcPr>
          <w:p w14:paraId="16951964" w14:textId="77777777" w:rsidR="00F06B7F" w:rsidRPr="00741074" w:rsidRDefault="00F06B7F" w:rsidP="00A2453B">
            <w:pPr>
              <w:spacing w:before="120"/>
              <w:ind w:left="360"/>
              <w:rPr>
                <w:rFonts w:eastAsia="Times New Roman" w:cs="Arial"/>
                <w:b/>
                <w:bCs/>
                <w:szCs w:val="20"/>
                <w:lang w:val="en-GB" w:eastAsia="de-CH"/>
              </w:rPr>
            </w:pPr>
          </w:p>
        </w:tc>
      </w:tr>
      <w:tr w:rsidR="0025256C" w:rsidRPr="00741074" w14:paraId="4ED1F3F6" w14:textId="70FBDA75" w:rsidTr="00377486">
        <w:tc>
          <w:tcPr>
            <w:tcW w:w="4006" w:type="pct"/>
          </w:tcPr>
          <w:p w14:paraId="524E9E92" w14:textId="45DC7C17" w:rsidR="0025256C" w:rsidRPr="00741074" w:rsidRDefault="0025256C" w:rsidP="00A37B52">
            <w:pPr>
              <w:numPr>
                <w:ilvl w:val="1"/>
                <w:numId w:val="14"/>
              </w:numPr>
              <w:tabs>
                <w:tab w:val="clear" w:pos="1440"/>
                <w:tab w:val="num" w:pos="589"/>
              </w:tabs>
              <w:ind w:left="589" w:hanging="425"/>
              <w:rPr>
                <w:rFonts w:eastAsia="Times New Roman" w:cs="Arial"/>
                <w:szCs w:val="20"/>
                <w:lang w:val="en-GB" w:eastAsia="de-CH"/>
              </w:rPr>
            </w:pPr>
            <w:r w:rsidRPr="00741074">
              <w:rPr>
                <w:rFonts w:eastAsia="Times New Roman" w:cs="Arial"/>
                <w:szCs w:val="20"/>
                <w:lang w:val="en-GB" w:eastAsia="de-CH"/>
              </w:rPr>
              <w:t>Support the M</w:t>
            </w:r>
            <w:r w:rsidR="008F28D5">
              <w:rPr>
                <w:rFonts w:eastAsia="Times New Roman" w:cs="Arial"/>
                <w:szCs w:val="20"/>
                <w:lang w:val="en-GB" w:eastAsia="de-CH"/>
              </w:rPr>
              <w:t>oH</w:t>
            </w:r>
            <w:r w:rsidRPr="00741074">
              <w:rPr>
                <w:rFonts w:eastAsia="Times New Roman" w:cs="Arial"/>
                <w:szCs w:val="20"/>
                <w:lang w:val="en-GB" w:eastAsia="de-CH"/>
              </w:rPr>
              <w:t xml:space="preserve"> in developing a monitoring and evaluation framework to track progress on the implementation of UHC-related policies and reforms.</w:t>
            </w:r>
          </w:p>
          <w:p w14:paraId="5BC5082A" w14:textId="77777777" w:rsidR="0025256C" w:rsidRPr="00741074" w:rsidRDefault="0025256C" w:rsidP="001C247B">
            <w:pPr>
              <w:ind w:left="589"/>
              <w:rPr>
                <w:rFonts w:eastAsia="Times New Roman" w:cs="Arial"/>
                <w:i/>
                <w:iCs/>
                <w:szCs w:val="20"/>
                <w:lang w:val="en-GB" w:eastAsia="de-CH"/>
              </w:rPr>
            </w:pPr>
          </w:p>
          <w:p w14:paraId="5112225B" w14:textId="2A99725C" w:rsidR="0025256C" w:rsidRPr="00741074" w:rsidRDefault="0025256C" w:rsidP="001C247B">
            <w:pPr>
              <w:ind w:left="589"/>
              <w:rPr>
                <w:rFonts w:eastAsia="Times New Roman" w:cs="Arial"/>
                <w:i/>
                <w:iCs/>
                <w:szCs w:val="20"/>
                <w:lang w:val="en-GB" w:eastAsia="de-CH"/>
              </w:rPr>
            </w:pPr>
            <w:r w:rsidRPr="00741074">
              <w:rPr>
                <w:rFonts w:eastAsia="Times New Roman" w:cs="Arial"/>
                <w:i/>
                <w:iCs/>
                <w:szCs w:val="20"/>
                <w:lang w:val="en-GB" w:eastAsia="de-CH"/>
              </w:rPr>
              <w:t>Deliverables:</w:t>
            </w:r>
          </w:p>
          <w:p w14:paraId="2B7BFE27" w14:textId="1EE3D1F7" w:rsidR="0025256C" w:rsidRPr="00741074" w:rsidRDefault="0025256C" w:rsidP="00377486">
            <w:pPr>
              <w:pStyle w:val="ListParagraph"/>
              <w:numPr>
                <w:ilvl w:val="0"/>
                <w:numId w:val="29"/>
              </w:numPr>
              <w:ind w:left="731" w:hanging="142"/>
              <w:rPr>
                <w:rFonts w:eastAsia="Times New Roman" w:cs="Arial"/>
                <w:szCs w:val="20"/>
                <w:lang w:val="en-GB" w:eastAsia="de-CH"/>
              </w:rPr>
            </w:pPr>
            <w:r w:rsidRPr="00741074">
              <w:rPr>
                <w:rFonts w:eastAsia="Times New Roman" w:cs="Arial"/>
                <w:szCs w:val="20"/>
                <w:lang w:val="en-GB" w:eastAsia="de-CH"/>
              </w:rPr>
              <w:t>A results-oriented M&amp;E framework, including indicators, baselines (where available), targets, data sources, and institutional responsibilities to monitor implementation of UHC-related policies and reforms.</w:t>
            </w:r>
          </w:p>
        </w:tc>
        <w:tc>
          <w:tcPr>
            <w:tcW w:w="994" w:type="pct"/>
            <w:vMerge w:val="restart"/>
            <w:vAlign w:val="center"/>
          </w:tcPr>
          <w:p w14:paraId="08F89F23" w14:textId="3E5520C0" w:rsidR="0025256C" w:rsidRPr="00741074" w:rsidRDefault="0025256C" w:rsidP="00F27F07">
            <w:pPr>
              <w:jc w:val="center"/>
              <w:rPr>
                <w:rFonts w:eastAsia="Times New Roman" w:cs="Arial"/>
                <w:szCs w:val="20"/>
                <w:lang w:val="en-GB" w:eastAsia="de-CH"/>
              </w:rPr>
            </w:pPr>
            <w:r w:rsidRPr="00741074">
              <w:rPr>
                <w:rFonts w:eastAsia="Times New Roman" w:cs="Arial"/>
                <w:szCs w:val="20"/>
                <w:lang w:val="en-GB" w:eastAsia="de-CH"/>
              </w:rPr>
              <w:lastRenderedPageBreak/>
              <w:t>50</w:t>
            </w:r>
          </w:p>
        </w:tc>
      </w:tr>
      <w:tr w:rsidR="0025256C" w:rsidRPr="00741074" w14:paraId="0D6D6A5A" w14:textId="44FDB318" w:rsidTr="0063774F">
        <w:trPr>
          <w:trHeight w:val="2304"/>
        </w:trPr>
        <w:tc>
          <w:tcPr>
            <w:tcW w:w="4006" w:type="pct"/>
            <w:tcBorders>
              <w:bottom w:val="single" w:sz="4" w:space="0" w:color="auto"/>
            </w:tcBorders>
          </w:tcPr>
          <w:p w14:paraId="0FB56135" w14:textId="77777777" w:rsidR="0025256C" w:rsidRPr="00741074" w:rsidRDefault="0025256C" w:rsidP="007D2D97">
            <w:pPr>
              <w:numPr>
                <w:ilvl w:val="1"/>
                <w:numId w:val="14"/>
              </w:numPr>
              <w:tabs>
                <w:tab w:val="clear" w:pos="1440"/>
                <w:tab w:val="num" w:pos="589"/>
              </w:tabs>
              <w:ind w:left="589" w:hanging="425"/>
              <w:rPr>
                <w:rFonts w:eastAsia="Times New Roman" w:cs="Arial"/>
                <w:szCs w:val="20"/>
                <w:lang w:val="en-GB" w:eastAsia="de-CH"/>
              </w:rPr>
            </w:pPr>
            <w:r w:rsidRPr="00741074">
              <w:rPr>
                <w:rFonts w:eastAsia="Times New Roman" w:cs="Arial"/>
                <w:szCs w:val="20"/>
                <w:lang w:val="en-GB" w:eastAsia="de-CH"/>
              </w:rPr>
              <w:t>Assist the MoH in ensuring that results and impact are properly documented and communicated.</w:t>
            </w:r>
          </w:p>
          <w:p w14:paraId="5C95FB87" w14:textId="77777777" w:rsidR="0025256C" w:rsidRPr="00741074" w:rsidRDefault="0025256C" w:rsidP="0062680A">
            <w:pPr>
              <w:rPr>
                <w:rFonts w:eastAsia="Times New Roman" w:cs="Arial"/>
                <w:szCs w:val="20"/>
                <w:lang w:val="en-GB" w:eastAsia="de-CH"/>
              </w:rPr>
            </w:pPr>
          </w:p>
          <w:p w14:paraId="2E67AE57" w14:textId="77777777" w:rsidR="0025256C" w:rsidRPr="00741074" w:rsidRDefault="0025256C" w:rsidP="0062680A">
            <w:pPr>
              <w:ind w:left="589"/>
              <w:rPr>
                <w:rFonts w:eastAsia="Times New Roman" w:cs="Arial"/>
                <w:i/>
                <w:iCs/>
                <w:szCs w:val="20"/>
                <w:lang w:val="en-GB" w:eastAsia="de-CH"/>
              </w:rPr>
            </w:pPr>
            <w:r w:rsidRPr="00741074">
              <w:rPr>
                <w:rFonts w:eastAsia="Times New Roman" w:cs="Arial"/>
                <w:i/>
                <w:iCs/>
                <w:szCs w:val="20"/>
                <w:lang w:val="en-GB" w:eastAsia="de-CH"/>
              </w:rPr>
              <w:t>Deliverables:</w:t>
            </w:r>
          </w:p>
          <w:p w14:paraId="6788FD61" w14:textId="516668A0" w:rsidR="0025256C" w:rsidRPr="00741074" w:rsidRDefault="0025256C" w:rsidP="0025256C">
            <w:pPr>
              <w:pStyle w:val="ListParagraph"/>
              <w:numPr>
                <w:ilvl w:val="0"/>
                <w:numId w:val="29"/>
              </w:numPr>
              <w:ind w:left="731" w:hanging="142"/>
              <w:rPr>
                <w:rFonts w:eastAsia="Times New Roman" w:cs="Arial"/>
                <w:szCs w:val="20"/>
                <w:lang w:val="en-GB" w:eastAsia="de-CH"/>
              </w:rPr>
            </w:pPr>
            <w:r w:rsidRPr="00741074">
              <w:rPr>
                <w:rFonts w:eastAsia="Times New Roman" w:cs="Arial"/>
                <w:szCs w:val="20"/>
                <w:lang w:val="en-GB" w:eastAsia="de-CH"/>
              </w:rPr>
              <w:t>Clear documentation of results and early impact of supported policy reforms, including success stories, policy briefs, or summary notes suitable for communication to national stakeholders, development partners, and donors.</w:t>
            </w:r>
          </w:p>
        </w:tc>
        <w:tc>
          <w:tcPr>
            <w:tcW w:w="994" w:type="pct"/>
            <w:vMerge/>
            <w:tcBorders>
              <w:bottom w:val="single" w:sz="4" w:space="0" w:color="auto"/>
            </w:tcBorders>
          </w:tcPr>
          <w:p w14:paraId="53CC6E18" w14:textId="77777777" w:rsidR="0025256C" w:rsidRPr="00741074" w:rsidRDefault="0025256C" w:rsidP="00ED6825">
            <w:pPr>
              <w:ind w:left="1077"/>
              <w:rPr>
                <w:rFonts w:eastAsia="Times New Roman" w:cs="Arial"/>
                <w:szCs w:val="20"/>
                <w:lang w:val="en-GB" w:eastAsia="de-CH"/>
              </w:rPr>
            </w:pPr>
          </w:p>
        </w:tc>
      </w:tr>
    </w:tbl>
    <w:p w14:paraId="161C25DD" w14:textId="7AFE2D5A" w:rsidR="00944677" w:rsidRPr="00741074" w:rsidRDefault="00944677" w:rsidP="00D60342">
      <w:pPr>
        <w:pStyle w:val="Heading2"/>
        <w:keepLines/>
        <w:spacing w:before="200" w:line="276" w:lineRule="auto"/>
        <w:rPr>
          <w:rFonts w:eastAsiaTheme="majorEastAsia"/>
          <w:bCs/>
          <w:iCs w:val="0"/>
          <w:color w:val="4F81BD" w:themeColor="accent1"/>
          <w:kern w:val="0"/>
          <w:sz w:val="20"/>
          <w:szCs w:val="20"/>
          <w:lang w:val="en-GB"/>
        </w:rPr>
      </w:pPr>
      <w:r w:rsidRPr="00741074">
        <w:rPr>
          <w:rFonts w:eastAsiaTheme="majorEastAsia"/>
          <w:bCs/>
          <w:iCs w:val="0"/>
          <w:color w:val="4F81BD" w:themeColor="accent1"/>
          <w:kern w:val="0"/>
          <w:sz w:val="20"/>
          <w:szCs w:val="20"/>
          <w:lang w:val="en-GB"/>
        </w:rPr>
        <w:t>Required Qualifications and Experience</w:t>
      </w:r>
    </w:p>
    <w:p w14:paraId="50E53A25" w14:textId="4173184E" w:rsidR="00944677" w:rsidRPr="00741074" w:rsidRDefault="00944677" w:rsidP="00847345">
      <w:pPr>
        <w:rPr>
          <w:rFonts w:eastAsia="Times New Roman" w:cs="Arial"/>
          <w:szCs w:val="20"/>
          <w:lang w:val="en-GB" w:eastAsia="de-CH"/>
        </w:rPr>
      </w:pPr>
      <w:r w:rsidRPr="00741074">
        <w:rPr>
          <w:rFonts w:eastAsia="Times New Roman" w:cs="Arial"/>
          <w:szCs w:val="20"/>
          <w:lang w:val="en-GB" w:eastAsia="de-CH"/>
        </w:rPr>
        <w:t xml:space="preserve">The </w:t>
      </w:r>
      <w:r w:rsidR="000D1071" w:rsidRPr="00741074">
        <w:rPr>
          <w:rFonts w:eastAsia="Times New Roman" w:cs="Arial"/>
          <w:szCs w:val="20"/>
          <w:lang w:val="en-GB" w:eastAsia="de-CH"/>
        </w:rPr>
        <w:t xml:space="preserve">selected candidate shall prove </w:t>
      </w:r>
      <w:r w:rsidRPr="00741074">
        <w:rPr>
          <w:rFonts w:eastAsia="Times New Roman" w:cs="Arial"/>
          <w:szCs w:val="20"/>
          <w:lang w:val="en-GB" w:eastAsia="de-CH"/>
        </w:rPr>
        <w:t>the following qualifications and experience:</w:t>
      </w:r>
    </w:p>
    <w:p w14:paraId="4ACDB640" w14:textId="77777777" w:rsidR="00744BEB" w:rsidRPr="00741074" w:rsidRDefault="00944677" w:rsidP="00744BEB">
      <w:pPr>
        <w:spacing w:before="120" w:line="276" w:lineRule="auto"/>
        <w:jc w:val="both"/>
        <w:rPr>
          <w:rFonts w:eastAsiaTheme="minorEastAsia" w:cs="Arial"/>
          <w:i/>
          <w:iCs/>
          <w:szCs w:val="20"/>
          <w:lang w:val="en-GB"/>
        </w:rPr>
      </w:pPr>
      <w:r w:rsidRPr="00741074">
        <w:rPr>
          <w:rFonts w:eastAsiaTheme="minorEastAsia" w:cs="Arial"/>
          <w:i/>
          <w:iCs/>
          <w:szCs w:val="20"/>
          <w:lang w:val="en-GB"/>
        </w:rPr>
        <w:t>Academic Qualifications</w:t>
      </w:r>
      <w:r w:rsidR="00744BEB" w:rsidRPr="00741074">
        <w:rPr>
          <w:rFonts w:eastAsiaTheme="minorEastAsia" w:cs="Arial"/>
          <w:i/>
          <w:iCs/>
          <w:szCs w:val="20"/>
          <w:lang w:val="en-GB"/>
        </w:rPr>
        <w:t xml:space="preserve"> and Professional Experience:</w:t>
      </w:r>
    </w:p>
    <w:p w14:paraId="30FB5D8E" w14:textId="2F80E11A" w:rsidR="00944677" w:rsidRPr="00741074" w:rsidRDefault="00944677" w:rsidP="00D60342">
      <w:pPr>
        <w:pStyle w:val="ListParagraph"/>
        <w:numPr>
          <w:ilvl w:val="1"/>
          <w:numId w:val="9"/>
        </w:numPr>
        <w:spacing w:line="276" w:lineRule="auto"/>
        <w:ind w:left="720"/>
        <w:jc w:val="both"/>
        <w:rPr>
          <w:rFonts w:eastAsiaTheme="minorEastAsia" w:cs="Arial"/>
          <w:szCs w:val="20"/>
          <w:lang w:val="en-GB"/>
        </w:rPr>
      </w:pPr>
      <w:bookmarkStart w:id="1" w:name="_Hlk188007654"/>
      <w:r w:rsidRPr="00741074">
        <w:rPr>
          <w:rFonts w:eastAsiaTheme="minorEastAsia" w:cs="Arial"/>
          <w:szCs w:val="20"/>
          <w:lang w:val="en-GB"/>
        </w:rPr>
        <w:t xml:space="preserve">A </w:t>
      </w:r>
      <w:proofErr w:type="gramStart"/>
      <w:r w:rsidRPr="00741074">
        <w:rPr>
          <w:rFonts w:eastAsiaTheme="minorEastAsia" w:cs="Arial"/>
          <w:szCs w:val="20"/>
          <w:lang w:val="en-GB"/>
        </w:rPr>
        <w:t>Master’s</w:t>
      </w:r>
      <w:proofErr w:type="gramEnd"/>
      <w:r w:rsidRPr="00741074">
        <w:rPr>
          <w:rFonts w:eastAsiaTheme="minorEastAsia" w:cs="Arial"/>
          <w:szCs w:val="20"/>
          <w:lang w:val="en-GB"/>
        </w:rPr>
        <w:t xml:space="preserve"> degree </w:t>
      </w:r>
      <w:r w:rsidR="00A86885" w:rsidRPr="00741074">
        <w:rPr>
          <w:rFonts w:eastAsiaTheme="minorEastAsia" w:cs="Arial"/>
          <w:szCs w:val="20"/>
          <w:lang w:val="en-GB"/>
        </w:rPr>
        <w:t>(</w:t>
      </w:r>
      <w:r w:rsidRPr="00741074">
        <w:rPr>
          <w:rFonts w:eastAsiaTheme="minorEastAsia" w:cs="Arial"/>
          <w:szCs w:val="20"/>
          <w:lang w:val="en-GB"/>
        </w:rPr>
        <w:t>or higher</w:t>
      </w:r>
      <w:r w:rsidR="00A86885" w:rsidRPr="00741074">
        <w:rPr>
          <w:rFonts w:eastAsiaTheme="minorEastAsia" w:cs="Arial"/>
          <w:szCs w:val="20"/>
          <w:lang w:val="en-GB"/>
        </w:rPr>
        <w:t>) in</w:t>
      </w:r>
      <w:r w:rsidRPr="00741074">
        <w:rPr>
          <w:rFonts w:eastAsiaTheme="minorEastAsia" w:cs="Arial"/>
          <w:szCs w:val="20"/>
          <w:lang w:val="en-GB"/>
        </w:rPr>
        <w:t xml:space="preserve"> public health, health policy, </w:t>
      </w:r>
      <w:r w:rsidR="00744BEB" w:rsidRPr="00741074">
        <w:rPr>
          <w:rFonts w:eastAsiaTheme="minorEastAsia" w:cs="Arial"/>
          <w:szCs w:val="20"/>
          <w:lang w:val="en-GB"/>
        </w:rPr>
        <w:t>medicine</w:t>
      </w:r>
      <w:r w:rsidRPr="00741074">
        <w:rPr>
          <w:rFonts w:eastAsiaTheme="minorEastAsia" w:cs="Arial"/>
          <w:szCs w:val="20"/>
          <w:lang w:val="en-GB"/>
        </w:rPr>
        <w:t>, or a related field.</w:t>
      </w:r>
    </w:p>
    <w:p w14:paraId="70FB8576" w14:textId="7079DECC" w:rsidR="00944677" w:rsidRPr="00741074" w:rsidRDefault="00944677" w:rsidP="00D60342">
      <w:pPr>
        <w:pStyle w:val="ListParagraph"/>
        <w:numPr>
          <w:ilvl w:val="1"/>
          <w:numId w:val="9"/>
        </w:numPr>
        <w:spacing w:line="276" w:lineRule="auto"/>
        <w:ind w:left="720"/>
        <w:jc w:val="both"/>
        <w:rPr>
          <w:rFonts w:eastAsiaTheme="minorEastAsia" w:cs="Arial"/>
          <w:szCs w:val="20"/>
          <w:lang w:val="en-GB"/>
        </w:rPr>
      </w:pPr>
      <w:r w:rsidRPr="00741074">
        <w:rPr>
          <w:rFonts w:eastAsiaTheme="minorEastAsia" w:cs="Arial"/>
          <w:szCs w:val="20"/>
          <w:lang w:val="en-GB"/>
        </w:rPr>
        <w:t xml:space="preserve">At least 7 years of experience in </w:t>
      </w:r>
      <w:r w:rsidR="00FB1232">
        <w:rPr>
          <w:rFonts w:eastAsiaTheme="minorEastAsia" w:cs="Arial"/>
          <w:szCs w:val="20"/>
          <w:lang w:val="en-GB"/>
        </w:rPr>
        <w:t xml:space="preserve">Moldova in </w:t>
      </w:r>
      <w:r w:rsidRPr="00741074">
        <w:rPr>
          <w:rFonts w:eastAsiaTheme="minorEastAsia" w:cs="Arial"/>
          <w:szCs w:val="20"/>
          <w:lang w:val="en-GB"/>
        </w:rPr>
        <w:t>health policy development, health systems strengthening, and/or health financing, with demonstrated expertise in UHC.</w:t>
      </w:r>
    </w:p>
    <w:p w14:paraId="20D10631" w14:textId="5FA3CDE0" w:rsidR="00944677" w:rsidRPr="00741074" w:rsidRDefault="00944677" w:rsidP="00D60342">
      <w:pPr>
        <w:pStyle w:val="ListParagraph"/>
        <w:numPr>
          <w:ilvl w:val="1"/>
          <w:numId w:val="9"/>
        </w:numPr>
        <w:spacing w:line="276" w:lineRule="auto"/>
        <w:ind w:left="720"/>
        <w:jc w:val="both"/>
        <w:rPr>
          <w:rFonts w:eastAsiaTheme="minorEastAsia" w:cs="Arial"/>
          <w:szCs w:val="20"/>
          <w:lang w:val="en-GB"/>
        </w:rPr>
      </w:pPr>
      <w:r w:rsidRPr="00741074">
        <w:rPr>
          <w:rFonts w:eastAsiaTheme="minorEastAsia" w:cs="Arial"/>
          <w:szCs w:val="20"/>
          <w:lang w:val="en-GB"/>
        </w:rPr>
        <w:t>Experience with legal and regulatory frameworks in the health sector</w:t>
      </w:r>
      <w:r w:rsidR="00FB1232">
        <w:rPr>
          <w:rFonts w:eastAsiaTheme="minorEastAsia" w:cs="Arial"/>
          <w:szCs w:val="20"/>
          <w:lang w:val="en-GB"/>
        </w:rPr>
        <w:t xml:space="preserve"> of Moldova</w:t>
      </w:r>
      <w:r w:rsidRPr="00741074">
        <w:rPr>
          <w:rFonts w:eastAsiaTheme="minorEastAsia" w:cs="Arial"/>
          <w:szCs w:val="20"/>
          <w:lang w:val="en-GB"/>
        </w:rPr>
        <w:t>, including drafting and revising health-related legislation and regulations.</w:t>
      </w:r>
    </w:p>
    <w:p w14:paraId="0DE75813" w14:textId="77777777" w:rsidR="00944677" w:rsidRPr="00741074" w:rsidRDefault="00944677" w:rsidP="00D60342">
      <w:pPr>
        <w:spacing w:before="120" w:line="276" w:lineRule="auto"/>
        <w:jc w:val="both"/>
        <w:rPr>
          <w:rFonts w:eastAsiaTheme="minorEastAsia" w:cs="Arial"/>
          <w:i/>
          <w:iCs/>
          <w:szCs w:val="20"/>
          <w:lang w:val="en-GB"/>
        </w:rPr>
      </w:pPr>
      <w:r w:rsidRPr="00741074">
        <w:rPr>
          <w:rFonts w:eastAsiaTheme="minorEastAsia" w:cs="Arial"/>
          <w:i/>
          <w:iCs/>
          <w:szCs w:val="20"/>
          <w:lang w:val="en-GB"/>
        </w:rPr>
        <w:t>Skills and Competencies:</w:t>
      </w:r>
    </w:p>
    <w:p w14:paraId="7F2A954F" w14:textId="0FFB9913" w:rsidR="00944677" w:rsidRPr="00741074" w:rsidRDefault="00944677" w:rsidP="00D60342">
      <w:pPr>
        <w:pStyle w:val="ListParagraph"/>
        <w:numPr>
          <w:ilvl w:val="1"/>
          <w:numId w:val="9"/>
        </w:numPr>
        <w:spacing w:line="276" w:lineRule="auto"/>
        <w:ind w:left="720"/>
        <w:jc w:val="both"/>
        <w:rPr>
          <w:rFonts w:eastAsiaTheme="minorEastAsia" w:cs="Arial"/>
          <w:szCs w:val="20"/>
          <w:lang w:val="en-GB"/>
        </w:rPr>
      </w:pPr>
      <w:r w:rsidRPr="00741074">
        <w:rPr>
          <w:rFonts w:eastAsiaTheme="minorEastAsia" w:cs="Arial"/>
          <w:szCs w:val="20"/>
          <w:lang w:val="en-GB"/>
        </w:rPr>
        <w:t>Expertise in analysis</w:t>
      </w:r>
      <w:r w:rsidR="0061415F" w:rsidRPr="00741074">
        <w:rPr>
          <w:rFonts w:eastAsiaTheme="minorEastAsia" w:cs="Arial"/>
          <w:szCs w:val="20"/>
          <w:lang w:val="en-GB"/>
        </w:rPr>
        <w:t xml:space="preserve"> and development of health policies</w:t>
      </w:r>
      <w:r w:rsidRPr="00741074">
        <w:rPr>
          <w:rFonts w:eastAsiaTheme="minorEastAsia" w:cs="Arial"/>
          <w:szCs w:val="20"/>
          <w:lang w:val="en-GB"/>
        </w:rPr>
        <w:t>, regulatory frameworks, and</w:t>
      </w:r>
      <w:r w:rsidR="0061415F" w:rsidRPr="00741074">
        <w:rPr>
          <w:rFonts w:eastAsiaTheme="minorEastAsia" w:cs="Arial"/>
          <w:szCs w:val="20"/>
          <w:lang w:val="en-GB"/>
        </w:rPr>
        <w:t xml:space="preserve"> in</w:t>
      </w:r>
      <w:r w:rsidRPr="00741074">
        <w:rPr>
          <w:rFonts w:eastAsiaTheme="minorEastAsia" w:cs="Arial"/>
          <w:szCs w:val="20"/>
          <w:lang w:val="en-GB"/>
        </w:rPr>
        <w:t xml:space="preserve"> health system governance.</w:t>
      </w:r>
    </w:p>
    <w:p w14:paraId="1FAEF1AF" w14:textId="77777777" w:rsidR="00944677" w:rsidRPr="00741074" w:rsidRDefault="00944677" w:rsidP="00D60342">
      <w:pPr>
        <w:pStyle w:val="ListParagraph"/>
        <w:numPr>
          <w:ilvl w:val="1"/>
          <w:numId w:val="9"/>
        </w:numPr>
        <w:spacing w:line="276" w:lineRule="auto"/>
        <w:ind w:left="720"/>
        <w:jc w:val="both"/>
        <w:rPr>
          <w:rFonts w:eastAsiaTheme="minorEastAsia" w:cs="Arial"/>
          <w:szCs w:val="20"/>
          <w:lang w:val="en-GB"/>
        </w:rPr>
      </w:pPr>
      <w:r w:rsidRPr="00741074">
        <w:rPr>
          <w:rFonts w:eastAsiaTheme="minorEastAsia" w:cs="Arial"/>
          <w:szCs w:val="20"/>
          <w:lang w:val="en-GB"/>
        </w:rPr>
        <w:t>Strong understanding of UHC principles, health financing strategies, and health systems strengthening.</w:t>
      </w:r>
    </w:p>
    <w:p w14:paraId="157A9554" w14:textId="77777777" w:rsidR="00944677" w:rsidRPr="00741074" w:rsidRDefault="00944677" w:rsidP="00D60342">
      <w:pPr>
        <w:pStyle w:val="ListParagraph"/>
        <w:numPr>
          <w:ilvl w:val="1"/>
          <w:numId w:val="9"/>
        </w:numPr>
        <w:spacing w:line="276" w:lineRule="auto"/>
        <w:ind w:left="720"/>
        <w:jc w:val="both"/>
        <w:rPr>
          <w:rFonts w:eastAsiaTheme="minorEastAsia" w:cs="Arial"/>
          <w:szCs w:val="20"/>
          <w:lang w:val="en-GB"/>
        </w:rPr>
      </w:pPr>
      <w:r w:rsidRPr="00741074">
        <w:rPr>
          <w:rFonts w:eastAsiaTheme="minorEastAsia" w:cs="Arial"/>
          <w:szCs w:val="20"/>
          <w:lang w:val="en-GB"/>
        </w:rPr>
        <w:t>Excellent communication, negotiation, and interpersonal skills, with the ability to engage effectively with senior government officials, development partners, and other stakeholders.</w:t>
      </w:r>
    </w:p>
    <w:p w14:paraId="2E0E81DA" w14:textId="1F461073" w:rsidR="00944677" w:rsidRPr="00741074" w:rsidRDefault="00944677" w:rsidP="00D60342">
      <w:pPr>
        <w:pStyle w:val="ListParagraph"/>
        <w:numPr>
          <w:ilvl w:val="1"/>
          <w:numId w:val="9"/>
        </w:numPr>
        <w:spacing w:line="276" w:lineRule="auto"/>
        <w:ind w:left="720"/>
        <w:jc w:val="both"/>
        <w:rPr>
          <w:rFonts w:eastAsiaTheme="minorEastAsia" w:cs="Arial"/>
          <w:szCs w:val="20"/>
          <w:lang w:val="en-GB"/>
        </w:rPr>
      </w:pPr>
      <w:r w:rsidRPr="00741074">
        <w:rPr>
          <w:rFonts w:eastAsiaTheme="minorEastAsia" w:cs="Arial"/>
          <w:szCs w:val="20"/>
          <w:lang w:val="en-GB"/>
        </w:rPr>
        <w:t xml:space="preserve">Fluency in </w:t>
      </w:r>
      <w:r w:rsidR="005805F4" w:rsidRPr="00741074">
        <w:rPr>
          <w:rFonts w:eastAsiaTheme="minorEastAsia" w:cs="Arial"/>
          <w:szCs w:val="20"/>
          <w:lang w:val="en-GB"/>
        </w:rPr>
        <w:t xml:space="preserve">Romanian and </w:t>
      </w:r>
      <w:r w:rsidRPr="00741074">
        <w:rPr>
          <w:rFonts w:eastAsiaTheme="minorEastAsia" w:cs="Arial"/>
          <w:szCs w:val="20"/>
          <w:lang w:val="en-GB"/>
        </w:rPr>
        <w:t xml:space="preserve">English </w:t>
      </w:r>
      <w:r w:rsidR="00A86885" w:rsidRPr="00741074">
        <w:rPr>
          <w:rFonts w:eastAsiaTheme="minorEastAsia" w:cs="Arial"/>
          <w:szCs w:val="20"/>
          <w:lang w:val="en-GB"/>
        </w:rPr>
        <w:t xml:space="preserve">(both spoken and written) </w:t>
      </w:r>
      <w:r w:rsidRPr="00741074">
        <w:rPr>
          <w:rFonts w:eastAsiaTheme="minorEastAsia" w:cs="Arial"/>
          <w:szCs w:val="20"/>
          <w:lang w:val="en-GB"/>
        </w:rPr>
        <w:t xml:space="preserve">is required; knowledge </w:t>
      </w:r>
      <w:r w:rsidR="005805F4" w:rsidRPr="00741074">
        <w:rPr>
          <w:rFonts w:eastAsiaTheme="minorEastAsia" w:cs="Arial"/>
          <w:szCs w:val="20"/>
          <w:lang w:val="en-GB"/>
        </w:rPr>
        <w:t>of Russian</w:t>
      </w:r>
      <w:r w:rsidRPr="00741074">
        <w:rPr>
          <w:rFonts w:eastAsiaTheme="minorEastAsia" w:cs="Arial"/>
          <w:szCs w:val="20"/>
          <w:lang w:val="en-GB"/>
        </w:rPr>
        <w:t xml:space="preserve"> is an asset.</w:t>
      </w:r>
    </w:p>
    <w:bookmarkEnd w:id="1"/>
    <w:p w14:paraId="57F23B60" w14:textId="77777777" w:rsidR="00D60342" w:rsidRPr="00741074" w:rsidRDefault="00D60342" w:rsidP="00D60342">
      <w:pPr>
        <w:pStyle w:val="Heading2"/>
        <w:keepLines/>
        <w:spacing w:before="200" w:line="276" w:lineRule="auto"/>
        <w:rPr>
          <w:rFonts w:eastAsiaTheme="majorEastAsia"/>
          <w:bCs/>
          <w:iCs w:val="0"/>
          <w:color w:val="4F81BD" w:themeColor="accent1"/>
          <w:kern w:val="0"/>
          <w:sz w:val="20"/>
          <w:szCs w:val="20"/>
          <w:lang w:val="en-GB"/>
        </w:rPr>
      </w:pPr>
      <w:r w:rsidRPr="00741074">
        <w:rPr>
          <w:rFonts w:eastAsiaTheme="majorEastAsia"/>
          <w:bCs/>
          <w:iCs w:val="0"/>
          <w:color w:val="4F81BD" w:themeColor="accent1"/>
          <w:kern w:val="0"/>
          <w:sz w:val="20"/>
          <w:szCs w:val="20"/>
          <w:lang w:val="en-GB"/>
        </w:rPr>
        <w:t>Duration of the Assignment</w:t>
      </w:r>
    </w:p>
    <w:p w14:paraId="02DCB9CE" w14:textId="7B73608F" w:rsidR="00D60342" w:rsidRPr="00741074" w:rsidRDefault="00D60342" w:rsidP="00377486">
      <w:pPr>
        <w:jc w:val="both"/>
        <w:rPr>
          <w:rFonts w:eastAsia="Times New Roman" w:cs="Arial"/>
          <w:szCs w:val="20"/>
          <w:lang w:val="en-GB" w:eastAsia="de-CH"/>
        </w:rPr>
      </w:pPr>
      <w:r w:rsidRPr="00741074">
        <w:rPr>
          <w:rFonts w:eastAsia="Times New Roman" w:cs="Arial"/>
          <w:szCs w:val="20"/>
          <w:lang w:val="en-GB" w:eastAsia="de-CH"/>
        </w:rPr>
        <w:t xml:space="preserve">This assignment is planned for no more than </w:t>
      </w:r>
      <w:r w:rsidR="00D91DF9">
        <w:rPr>
          <w:rFonts w:eastAsia="Times New Roman" w:cs="Arial"/>
          <w:szCs w:val="20"/>
          <w:lang w:val="en-GB" w:eastAsia="de-CH"/>
        </w:rPr>
        <w:t>250</w:t>
      </w:r>
      <w:r w:rsidR="00D91DF9" w:rsidRPr="00741074">
        <w:rPr>
          <w:rFonts w:eastAsia="Times New Roman" w:cs="Arial"/>
          <w:szCs w:val="20"/>
          <w:lang w:val="en-GB" w:eastAsia="de-CH"/>
        </w:rPr>
        <w:t xml:space="preserve"> </w:t>
      </w:r>
      <w:r w:rsidRPr="00741074">
        <w:rPr>
          <w:rFonts w:eastAsia="Times New Roman" w:cs="Arial"/>
          <w:szCs w:val="20"/>
          <w:lang w:val="en-GB" w:eastAsia="de-CH"/>
        </w:rPr>
        <w:t xml:space="preserve">full working days during the period 1 </w:t>
      </w:r>
      <w:r w:rsidR="00744BEB" w:rsidRPr="00741074">
        <w:rPr>
          <w:rFonts w:eastAsia="Times New Roman" w:cs="Arial"/>
          <w:szCs w:val="20"/>
          <w:lang w:val="en-GB" w:eastAsia="de-CH"/>
        </w:rPr>
        <w:t xml:space="preserve">February </w:t>
      </w:r>
      <w:r w:rsidRPr="00741074">
        <w:rPr>
          <w:rFonts w:eastAsia="Times New Roman" w:cs="Arial"/>
          <w:szCs w:val="20"/>
          <w:lang w:val="en-GB" w:eastAsia="de-CH"/>
        </w:rPr>
        <w:t>2026 – 30</w:t>
      </w:r>
      <w:r w:rsidR="00744BEB" w:rsidRPr="00741074">
        <w:rPr>
          <w:rFonts w:eastAsia="Times New Roman" w:cs="Arial"/>
          <w:szCs w:val="20"/>
          <w:lang w:val="en-GB" w:eastAsia="de-CH"/>
        </w:rPr>
        <w:t xml:space="preserve"> June</w:t>
      </w:r>
      <w:r w:rsidRPr="00741074">
        <w:rPr>
          <w:rFonts w:eastAsia="Times New Roman" w:cs="Arial"/>
          <w:szCs w:val="20"/>
          <w:lang w:val="en-GB" w:eastAsia="de-CH"/>
        </w:rPr>
        <w:t xml:space="preserve"> 2027.</w:t>
      </w:r>
    </w:p>
    <w:p w14:paraId="3BEB8A48" w14:textId="1519D440" w:rsidR="00944677" w:rsidRPr="00741074" w:rsidRDefault="00A2453B" w:rsidP="00D60342">
      <w:pPr>
        <w:pStyle w:val="Heading2"/>
        <w:keepLines/>
        <w:spacing w:before="200" w:line="276" w:lineRule="auto"/>
        <w:rPr>
          <w:rFonts w:eastAsiaTheme="majorEastAsia"/>
          <w:bCs/>
          <w:iCs w:val="0"/>
          <w:color w:val="4F81BD" w:themeColor="accent1"/>
          <w:kern w:val="0"/>
          <w:sz w:val="20"/>
          <w:szCs w:val="20"/>
          <w:lang w:val="en-GB"/>
        </w:rPr>
      </w:pPr>
      <w:r w:rsidRPr="00741074">
        <w:rPr>
          <w:rFonts w:eastAsiaTheme="majorEastAsia"/>
          <w:bCs/>
          <w:iCs w:val="0"/>
          <w:color w:val="4F81BD" w:themeColor="accent1"/>
          <w:kern w:val="0"/>
          <w:sz w:val="20"/>
          <w:szCs w:val="20"/>
          <w:lang w:val="en-GB"/>
        </w:rPr>
        <w:t xml:space="preserve">Coordination, reporting lines, financial arrangements </w:t>
      </w:r>
    </w:p>
    <w:p w14:paraId="5C3A1500" w14:textId="5AAA4C28" w:rsidR="00BC714E" w:rsidRPr="00741074" w:rsidRDefault="00BC714E" w:rsidP="00BC714E">
      <w:pPr>
        <w:spacing w:before="240" w:after="120"/>
        <w:jc w:val="both"/>
        <w:rPr>
          <w:rFonts w:cs="Arial"/>
          <w:color w:val="000000"/>
          <w:szCs w:val="20"/>
          <w:lang w:val="en-GB" w:eastAsia="de-CH"/>
        </w:rPr>
      </w:pPr>
      <w:bookmarkStart w:id="2" w:name="_Hlk215500926"/>
      <w:r w:rsidRPr="00741074">
        <w:rPr>
          <w:rFonts w:cs="Arial"/>
          <w:color w:val="000000"/>
          <w:szCs w:val="20"/>
          <w:lang w:val="en-GB" w:eastAsia="de-CH"/>
        </w:rPr>
        <w:t>The Policy</w:t>
      </w:r>
      <w:r w:rsidR="00B24A43" w:rsidRPr="00741074">
        <w:rPr>
          <w:rFonts w:cs="Arial"/>
          <w:color w:val="000000"/>
          <w:szCs w:val="20"/>
          <w:lang w:val="en-GB" w:eastAsia="de-CH"/>
        </w:rPr>
        <w:t xml:space="preserve"> </w:t>
      </w:r>
      <w:r w:rsidR="00097072" w:rsidRPr="00741074">
        <w:rPr>
          <w:rFonts w:cs="Arial"/>
          <w:color w:val="000000"/>
          <w:szCs w:val="20"/>
          <w:lang w:val="en-GB" w:eastAsia="de-CH"/>
        </w:rPr>
        <w:t>A</w:t>
      </w:r>
      <w:r w:rsidR="00B24A43" w:rsidRPr="00741074">
        <w:rPr>
          <w:rFonts w:cs="Arial"/>
          <w:color w:val="000000"/>
          <w:szCs w:val="20"/>
          <w:lang w:val="en-GB" w:eastAsia="de-CH"/>
        </w:rPr>
        <w:t>dvisor</w:t>
      </w:r>
      <w:r w:rsidRPr="00741074">
        <w:rPr>
          <w:rFonts w:cs="Arial"/>
          <w:color w:val="000000"/>
          <w:szCs w:val="20"/>
          <w:lang w:val="en-GB" w:eastAsia="de-CH"/>
        </w:rPr>
        <w:t xml:space="preserve"> will be mandated </w:t>
      </w:r>
      <w:r w:rsidR="00A86885" w:rsidRPr="00741074">
        <w:rPr>
          <w:rFonts w:cs="Arial"/>
          <w:color w:val="000000"/>
          <w:szCs w:val="20"/>
          <w:lang w:val="en-GB" w:eastAsia="de-CH"/>
        </w:rPr>
        <w:t xml:space="preserve">and </w:t>
      </w:r>
      <w:r w:rsidRPr="00741074">
        <w:rPr>
          <w:rFonts w:cs="Arial"/>
          <w:color w:val="000000"/>
          <w:szCs w:val="20"/>
          <w:lang w:val="en-GB" w:eastAsia="de-CH"/>
        </w:rPr>
        <w:t xml:space="preserve">contracted by </w:t>
      </w:r>
      <w:bookmarkStart w:id="3" w:name="_Hlk215584755"/>
      <w:r w:rsidRPr="00741074">
        <w:rPr>
          <w:rFonts w:cs="Arial"/>
          <w:color w:val="000000"/>
          <w:szCs w:val="20"/>
          <w:lang w:val="en-GB" w:eastAsia="de-CH"/>
        </w:rPr>
        <w:t xml:space="preserve">the </w:t>
      </w:r>
      <w:r w:rsidR="00D60342" w:rsidRPr="00741074">
        <w:rPr>
          <w:rFonts w:cs="Arial"/>
          <w:color w:val="000000"/>
          <w:szCs w:val="20"/>
          <w:lang w:val="en-GB" w:eastAsia="de-CH"/>
        </w:rPr>
        <w:t xml:space="preserve">Swiss Cooperation Office </w:t>
      </w:r>
      <w:bookmarkEnd w:id="3"/>
      <w:r w:rsidR="00D60342" w:rsidRPr="00741074">
        <w:rPr>
          <w:rFonts w:cs="Arial"/>
          <w:color w:val="000000"/>
          <w:szCs w:val="20"/>
          <w:lang w:val="en-GB" w:eastAsia="de-CH"/>
        </w:rPr>
        <w:t>(</w:t>
      </w:r>
      <w:r w:rsidRPr="00741074">
        <w:rPr>
          <w:rFonts w:cs="Arial"/>
          <w:color w:val="000000"/>
          <w:szCs w:val="20"/>
          <w:lang w:val="en-GB" w:eastAsia="de-CH"/>
        </w:rPr>
        <w:t>SCO</w:t>
      </w:r>
      <w:r w:rsidR="00D60342" w:rsidRPr="00741074">
        <w:rPr>
          <w:rFonts w:cs="Arial"/>
          <w:color w:val="000000"/>
          <w:szCs w:val="20"/>
          <w:lang w:val="en-GB" w:eastAsia="de-CH"/>
        </w:rPr>
        <w:t>)</w:t>
      </w:r>
      <w:r w:rsidRPr="00741074">
        <w:rPr>
          <w:rFonts w:cs="Arial"/>
          <w:color w:val="000000"/>
          <w:szCs w:val="20"/>
          <w:lang w:val="en-GB" w:eastAsia="de-CH"/>
        </w:rPr>
        <w:t xml:space="preserve"> and will report to </w:t>
      </w:r>
      <w:r w:rsidR="00A86885" w:rsidRPr="00741074">
        <w:rPr>
          <w:rFonts w:cs="Arial"/>
          <w:color w:val="000000"/>
          <w:szCs w:val="20"/>
          <w:lang w:val="en-GB" w:eastAsia="de-CH"/>
        </w:rPr>
        <w:t xml:space="preserve">the </w:t>
      </w:r>
      <w:r w:rsidRPr="00741074">
        <w:rPr>
          <w:rFonts w:cs="Arial"/>
          <w:color w:val="000000"/>
          <w:szCs w:val="20"/>
          <w:lang w:val="en-GB" w:eastAsia="de-CH"/>
        </w:rPr>
        <w:t xml:space="preserve">National Programme Officer </w:t>
      </w:r>
      <w:r w:rsidR="00FC782A" w:rsidRPr="00741074">
        <w:rPr>
          <w:rFonts w:cs="Arial"/>
          <w:color w:val="000000"/>
          <w:szCs w:val="20"/>
          <w:lang w:val="en-GB" w:eastAsia="de-CH"/>
        </w:rPr>
        <w:t>(NPO) for</w:t>
      </w:r>
      <w:r w:rsidRPr="00741074">
        <w:rPr>
          <w:rFonts w:cs="Arial"/>
          <w:color w:val="000000"/>
          <w:szCs w:val="20"/>
          <w:lang w:val="en-GB" w:eastAsia="de-CH"/>
        </w:rPr>
        <w:t xml:space="preserve"> </w:t>
      </w:r>
      <w:r w:rsidR="00B24A43" w:rsidRPr="00741074">
        <w:rPr>
          <w:rFonts w:cs="Arial"/>
          <w:color w:val="000000"/>
          <w:szCs w:val="20"/>
          <w:lang w:val="en-GB" w:eastAsia="de-CH"/>
        </w:rPr>
        <w:t>Health</w:t>
      </w:r>
      <w:r w:rsidRPr="00741074">
        <w:rPr>
          <w:rFonts w:cs="Arial"/>
          <w:color w:val="000000"/>
          <w:szCs w:val="20"/>
          <w:lang w:val="en-GB" w:eastAsia="de-CH"/>
        </w:rPr>
        <w:t xml:space="preserve"> within the SCO, through </w:t>
      </w:r>
      <w:r w:rsidR="00744BEB" w:rsidRPr="00741074">
        <w:rPr>
          <w:rFonts w:cs="Arial"/>
          <w:color w:val="000000"/>
          <w:szCs w:val="20"/>
          <w:lang w:val="en-GB" w:eastAsia="de-CH"/>
        </w:rPr>
        <w:t xml:space="preserve">regular meetings/ exchanges and written quarterly </w:t>
      </w:r>
      <w:r w:rsidRPr="00741074">
        <w:rPr>
          <w:rFonts w:cs="Arial"/>
          <w:color w:val="000000"/>
          <w:szCs w:val="20"/>
          <w:lang w:val="en-GB" w:eastAsia="de-CH"/>
        </w:rPr>
        <w:t xml:space="preserve">reports. Quarterly meetings (online if not possible in person) will be held between the </w:t>
      </w:r>
      <w:r w:rsidR="00E35C1A" w:rsidRPr="00741074">
        <w:rPr>
          <w:rFonts w:cs="Arial"/>
          <w:color w:val="000000"/>
          <w:szCs w:val="20"/>
          <w:lang w:val="en-GB" w:eastAsia="de-CH"/>
        </w:rPr>
        <w:t xml:space="preserve">Policy </w:t>
      </w:r>
      <w:r w:rsidR="009A3EB4">
        <w:rPr>
          <w:rFonts w:cs="Arial"/>
          <w:color w:val="000000"/>
          <w:szCs w:val="20"/>
          <w:lang w:val="en-GB" w:eastAsia="de-CH"/>
        </w:rPr>
        <w:t>A</w:t>
      </w:r>
      <w:r w:rsidR="00E35C1A" w:rsidRPr="00741074">
        <w:rPr>
          <w:rFonts w:cs="Arial"/>
          <w:color w:val="000000"/>
          <w:szCs w:val="20"/>
          <w:lang w:val="en-GB" w:eastAsia="de-CH"/>
        </w:rPr>
        <w:t>dvisor</w:t>
      </w:r>
      <w:r w:rsidRPr="00741074">
        <w:rPr>
          <w:rFonts w:cs="Arial"/>
          <w:color w:val="000000"/>
          <w:szCs w:val="20"/>
          <w:lang w:val="en-GB" w:eastAsia="de-CH"/>
        </w:rPr>
        <w:t xml:space="preserve">, the </w:t>
      </w:r>
      <w:r w:rsidR="00E35C1A" w:rsidRPr="00741074">
        <w:rPr>
          <w:rFonts w:cs="Arial"/>
          <w:color w:val="000000"/>
          <w:szCs w:val="20"/>
          <w:lang w:val="en-GB" w:eastAsia="de-CH"/>
        </w:rPr>
        <w:t xml:space="preserve">responsible </w:t>
      </w:r>
      <w:r w:rsidR="0024099D" w:rsidRPr="00741074">
        <w:rPr>
          <w:rFonts w:cs="Arial"/>
          <w:color w:val="000000"/>
          <w:szCs w:val="20"/>
          <w:lang w:val="en-GB" w:eastAsia="de-CH"/>
        </w:rPr>
        <w:t xml:space="preserve">person from </w:t>
      </w:r>
      <w:r w:rsidRPr="00741074">
        <w:rPr>
          <w:rFonts w:cs="Arial"/>
          <w:color w:val="000000"/>
          <w:szCs w:val="20"/>
          <w:lang w:val="en-GB" w:eastAsia="de-CH"/>
        </w:rPr>
        <w:t xml:space="preserve">the </w:t>
      </w:r>
      <w:r w:rsidR="0024099D" w:rsidRPr="00741074">
        <w:rPr>
          <w:rFonts w:cs="Arial"/>
          <w:color w:val="000000"/>
          <w:szCs w:val="20"/>
          <w:lang w:val="en-GB" w:eastAsia="de-CH"/>
        </w:rPr>
        <w:t>MoH</w:t>
      </w:r>
      <w:r w:rsidRPr="00741074">
        <w:rPr>
          <w:rFonts w:cs="Arial"/>
          <w:color w:val="000000"/>
          <w:szCs w:val="20"/>
          <w:lang w:val="en-GB" w:eastAsia="de-CH"/>
        </w:rPr>
        <w:t xml:space="preserve"> and the N</w:t>
      </w:r>
      <w:r w:rsidR="00FC782A" w:rsidRPr="00741074">
        <w:rPr>
          <w:rFonts w:cs="Arial"/>
          <w:color w:val="000000"/>
          <w:szCs w:val="20"/>
          <w:lang w:val="en-GB" w:eastAsia="de-CH"/>
        </w:rPr>
        <w:t>PO Health</w:t>
      </w:r>
      <w:r w:rsidRPr="00741074">
        <w:rPr>
          <w:rFonts w:cs="Arial"/>
          <w:color w:val="000000"/>
          <w:szCs w:val="20"/>
          <w:lang w:val="en-GB" w:eastAsia="de-CH"/>
        </w:rPr>
        <w:t xml:space="preserve"> at the SCO to review progress towards the expected results. </w:t>
      </w:r>
    </w:p>
    <w:p w14:paraId="07BB37FA" w14:textId="717F2D73" w:rsidR="00097072" w:rsidRPr="00741074" w:rsidRDefault="00097072" w:rsidP="00BC714E">
      <w:pPr>
        <w:spacing w:before="240" w:after="120"/>
        <w:jc w:val="both"/>
        <w:rPr>
          <w:rFonts w:cs="Arial"/>
          <w:color w:val="000000"/>
          <w:szCs w:val="20"/>
          <w:lang w:val="en-GB" w:eastAsia="de-CH"/>
        </w:rPr>
      </w:pPr>
      <w:r w:rsidRPr="00741074">
        <w:rPr>
          <w:rFonts w:cs="Arial"/>
          <w:color w:val="000000"/>
          <w:szCs w:val="20"/>
          <w:lang w:val="en-GB" w:eastAsia="de-CH"/>
        </w:rPr>
        <w:t>The Policy Advisor will present the following reports to the SCO:</w:t>
      </w:r>
    </w:p>
    <w:p w14:paraId="4C5B373F" w14:textId="1BFE5B64" w:rsidR="00097072" w:rsidRPr="00741074" w:rsidRDefault="00097072" w:rsidP="00741074">
      <w:pPr>
        <w:pStyle w:val="ListParagraph"/>
        <w:numPr>
          <w:ilvl w:val="0"/>
          <w:numId w:val="29"/>
        </w:numPr>
        <w:ind w:left="731" w:hanging="142"/>
        <w:jc w:val="both"/>
        <w:rPr>
          <w:rFonts w:eastAsia="Times New Roman" w:cs="Arial"/>
          <w:szCs w:val="20"/>
          <w:lang w:val="en-GB" w:eastAsia="de-CH"/>
        </w:rPr>
      </w:pPr>
      <w:r w:rsidRPr="00741074">
        <w:rPr>
          <w:rFonts w:eastAsia="Times New Roman" w:cs="Arial"/>
          <w:szCs w:val="20"/>
          <w:lang w:val="en-GB" w:eastAsia="de-CH"/>
        </w:rPr>
        <w:t>Regular (</w:t>
      </w:r>
      <w:r w:rsidR="003B0DB3">
        <w:rPr>
          <w:rFonts w:eastAsia="Times New Roman" w:cs="Arial"/>
          <w:szCs w:val="20"/>
          <w:lang w:val="en-GB" w:eastAsia="de-CH"/>
        </w:rPr>
        <w:t>quarterly</w:t>
      </w:r>
      <w:r w:rsidRPr="00741074">
        <w:rPr>
          <w:rFonts w:eastAsia="Times New Roman" w:cs="Arial"/>
          <w:szCs w:val="20"/>
          <w:lang w:val="en-GB" w:eastAsia="de-CH"/>
        </w:rPr>
        <w:t>) narrative progress reports on the status of policy reforms, highlighting achievements, challenges, risks, mitigation actions, and lessons learned.</w:t>
      </w:r>
    </w:p>
    <w:p w14:paraId="06C989F0" w14:textId="0C9800F8" w:rsidR="00097072" w:rsidRPr="00741074" w:rsidRDefault="00097072" w:rsidP="00741074">
      <w:pPr>
        <w:pStyle w:val="ListParagraph"/>
        <w:numPr>
          <w:ilvl w:val="0"/>
          <w:numId w:val="29"/>
        </w:numPr>
        <w:ind w:left="731" w:hanging="142"/>
        <w:jc w:val="both"/>
        <w:rPr>
          <w:rFonts w:cs="Arial"/>
          <w:color w:val="000000"/>
          <w:szCs w:val="20"/>
          <w:lang w:val="en-GB" w:eastAsia="de-CH"/>
        </w:rPr>
      </w:pPr>
      <w:r w:rsidRPr="00741074">
        <w:rPr>
          <w:rFonts w:eastAsia="Times New Roman" w:cs="Arial"/>
          <w:szCs w:val="20"/>
          <w:lang w:val="en-GB" w:eastAsia="de-CH"/>
        </w:rPr>
        <w:t>A consolidated final report summarizing all support provided, key policy achievements, lessons learned, and recommendations for sustaining and scaling UHC-related reforms beyond the consultancy period.</w:t>
      </w:r>
    </w:p>
    <w:p w14:paraId="3B447944" w14:textId="7CF32C64" w:rsidR="00BC714E" w:rsidRPr="00741074" w:rsidRDefault="00BC714E" w:rsidP="00BC714E">
      <w:pPr>
        <w:spacing w:before="240" w:after="120"/>
        <w:jc w:val="both"/>
        <w:rPr>
          <w:rFonts w:cs="Arial"/>
          <w:color w:val="000000"/>
          <w:szCs w:val="20"/>
          <w:lang w:val="en-GB" w:eastAsia="de-CH"/>
        </w:rPr>
      </w:pPr>
      <w:r w:rsidRPr="00741074">
        <w:rPr>
          <w:rFonts w:cs="Arial"/>
          <w:color w:val="000000"/>
          <w:szCs w:val="20"/>
          <w:lang w:val="en-GB" w:eastAsia="de-CH"/>
        </w:rPr>
        <w:lastRenderedPageBreak/>
        <w:t xml:space="preserve">Administrative matters in line with this mandate will be managed by the SCO. The </w:t>
      </w:r>
      <w:r w:rsidR="00E35C1A" w:rsidRPr="00741074">
        <w:rPr>
          <w:rFonts w:cs="Arial"/>
          <w:color w:val="000000"/>
          <w:szCs w:val="20"/>
          <w:lang w:val="en-GB" w:eastAsia="de-CH"/>
        </w:rPr>
        <w:t xml:space="preserve">Policy </w:t>
      </w:r>
      <w:r w:rsidR="00097072" w:rsidRPr="00741074">
        <w:rPr>
          <w:rFonts w:cs="Arial"/>
          <w:color w:val="000000"/>
          <w:szCs w:val="20"/>
          <w:lang w:val="en-GB" w:eastAsia="de-CH"/>
        </w:rPr>
        <w:t>A</w:t>
      </w:r>
      <w:r w:rsidR="00E35C1A" w:rsidRPr="00741074">
        <w:rPr>
          <w:rFonts w:cs="Arial"/>
          <w:color w:val="000000"/>
          <w:szCs w:val="20"/>
          <w:lang w:val="en-GB" w:eastAsia="de-CH"/>
        </w:rPr>
        <w:t>dvisor</w:t>
      </w:r>
      <w:r w:rsidR="00A2453B" w:rsidRPr="00741074">
        <w:rPr>
          <w:rFonts w:cs="Arial"/>
          <w:color w:val="000000"/>
          <w:szCs w:val="20"/>
          <w:lang w:val="en-GB" w:eastAsia="de-CH"/>
        </w:rPr>
        <w:t>,</w:t>
      </w:r>
      <w:r w:rsidRPr="00741074">
        <w:rPr>
          <w:rFonts w:cs="Arial"/>
          <w:color w:val="000000"/>
          <w:szCs w:val="20"/>
          <w:lang w:val="en-GB" w:eastAsia="de-CH"/>
        </w:rPr>
        <w:t xml:space="preserve"> </w:t>
      </w:r>
      <w:r w:rsidR="00A2453B" w:rsidRPr="00741074">
        <w:rPr>
          <w:rFonts w:cs="Arial"/>
          <w:color w:val="000000"/>
          <w:szCs w:val="20"/>
          <w:lang w:val="en-GB" w:eastAsia="de-CH"/>
        </w:rPr>
        <w:t xml:space="preserve">working through a legal entity (individual enterprise, NGO, Ltd etc.), </w:t>
      </w:r>
      <w:r w:rsidRPr="00741074">
        <w:rPr>
          <w:rFonts w:cs="Arial"/>
          <w:color w:val="000000"/>
          <w:szCs w:val="20"/>
          <w:lang w:val="en-GB" w:eastAsia="de-CH"/>
        </w:rPr>
        <w:t xml:space="preserve">shall pay by her/himself the social security contributions, income tax and other relevant taxes, as stipulated by law of the Republic of Moldova. General Conditions of Business (attached) </w:t>
      </w:r>
      <w:r w:rsidR="00FC782A" w:rsidRPr="00741074">
        <w:rPr>
          <w:rFonts w:cs="Arial"/>
          <w:color w:val="000000"/>
          <w:szCs w:val="20"/>
          <w:lang w:val="en-GB" w:eastAsia="de-CH"/>
        </w:rPr>
        <w:t>are</w:t>
      </w:r>
      <w:r w:rsidRPr="00741074">
        <w:rPr>
          <w:rFonts w:cs="Arial"/>
          <w:color w:val="000000"/>
          <w:szCs w:val="20"/>
          <w:lang w:val="en-GB" w:eastAsia="de-CH"/>
        </w:rPr>
        <w:t xml:space="preserve"> an integral part of the contract.</w:t>
      </w:r>
      <w:r w:rsidR="00A2453B" w:rsidRPr="00741074">
        <w:rPr>
          <w:rFonts w:cs="Arial"/>
          <w:szCs w:val="20"/>
          <w:lang w:val="en-GB"/>
        </w:rPr>
        <w:t xml:space="preserve"> </w:t>
      </w:r>
    </w:p>
    <w:p w14:paraId="4CECFE7E" w14:textId="29D1D0FC" w:rsidR="00BC714E" w:rsidRPr="00741074" w:rsidRDefault="00BC714E" w:rsidP="00BC714E">
      <w:pPr>
        <w:spacing w:before="240" w:after="120"/>
        <w:jc w:val="both"/>
        <w:rPr>
          <w:rFonts w:cs="Arial"/>
          <w:color w:val="000000"/>
          <w:szCs w:val="20"/>
          <w:lang w:val="en-GB" w:eastAsia="de-CH"/>
        </w:rPr>
      </w:pPr>
      <w:r w:rsidRPr="00741074">
        <w:rPr>
          <w:rFonts w:cs="Arial"/>
          <w:color w:val="000000"/>
          <w:szCs w:val="20"/>
          <w:lang w:val="en-GB" w:eastAsia="de-CH"/>
        </w:rPr>
        <w:t xml:space="preserve">The </w:t>
      </w:r>
      <w:r w:rsidR="00E35C1A" w:rsidRPr="00741074">
        <w:rPr>
          <w:rFonts w:cs="Arial"/>
          <w:color w:val="000000"/>
          <w:szCs w:val="20"/>
          <w:lang w:val="en-GB" w:eastAsia="de-CH"/>
        </w:rPr>
        <w:t xml:space="preserve">Policy </w:t>
      </w:r>
      <w:r w:rsidR="00097072" w:rsidRPr="00741074">
        <w:rPr>
          <w:rFonts w:cs="Arial"/>
          <w:color w:val="000000"/>
          <w:szCs w:val="20"/>
          <w:lang w:val="en-GB" w:eastAsia="de-CH"/>
        </w:rPr>
        <w:t>A</w:t>
      </w:r>
      <w:r w:rsidR="00E35C1A" w:rsidRPr="00741074">
        <w:rPr>
          <w:rFonts w:cs="Arial"/>
          <w:color w:val="000000"/>
          <w:szCs w:val="20"/>
          <w:lang w:val="en-GB" w:eastAsia="de-CH"/>
        </w:rPr>
        <w:t>dvisor</w:t>
      </w:r>
      <w:r w:rsidRPr="00741074">
        <w:rPr>
          <w:rFonts w:cs="Arial"/>
          <w:color w:val="000000"/>
          <w:szCs w:val="20"/>
          <w:lang w:val="en-GB" w:eastAsia="de-CH"/>
        </w:rPr>
        <w:t xml:space="preserve"> is seconded to </w:t>
      </w:r>
      <w:r w:rsidR="00FC782A" w:rsidRPr="00741074">
        <w:rPr>
          <w:rFonts w:cs="Arial"/>
          <w:color w:val="000000"/>
          <w:szCs w:val="20"/>
          <w:lang w:val="en-GB" w:eastAsia="de-CH"/>
        </w:rPr>
        <w:t>the MoH. S</w:t>
      </w:r>
      <w:r w:rsidRPr="00741074">
        <w:rPr>
          <w:rFonts w:cs="Arial"/>
          <w:color w:val="000000"/>
          <w:szCs w:val="20"/>
          <w:lang w:val="en-GB" w:eastAsia="de-CH"/>
        </w:rPr>
        <w:t xml:space="preserve">he/he will closely work directly with the </w:t>
      </w:r>
      <w:r w:rsidR="00E35C1A" w:rsidRPr="00741074">
        <w:rPr>
          <w:rFonts w:cs="Arial"/>
          <w:color w:val="000000"/>
          <w:szCs w:val="20"/>
          <w:lang w:val="en-GB" w:eastAsia="de-CH"/>
        </w:rPr>
        <w:t xml:space="preserve">responsible </w:t>
      </w:r>
      <w:r w:rsidR="00FC782A" w:rsidRPr="00741074">
        <w:rPr>
          <w:rFonts w:cs="Arial"/>
          <w:color w:val="000000"/>
          <w:szCs w:val="20"/>
          <w:lang w:val="en-GB" w:eastAsia="de-CH"/>
        </w:rPr>
        <w:t>person within the MoH</w:t>
      </w:r>
      <w:r w:rsidRPr="00741074">
        <w:rPr>
          <w:rFonts w:cs="Arial"/>
          <w:color w:val="000000"/>
          <w:szCs w:val="20"/>
          <w:lang w:val="en-GB" w:eastAsia="de-CH"/>
        </w:rPr>
        <w:t xml:space="preserve">. The </w:t>
      </w:r>
      <w:r w:rsidR="00E35C1A" w:rsidRPr="00741074">
        <w:rPr>
          <w:rFonts w:cs="Arial"/>
          <w:color w:val="000000"/>
          <w:szCs w:val="20"/>
          <w:lang w:val="en-GB" w:eastAsia="de-CH"/>
        </w:rPr>
        <w:t>M</w:t>
      </w:r>
      <w:r w:rsidR="008F28D5">
        <w:rPr>
          <w:rFonts w:cs="Arial"/>
          <w:color w:val="000000"/>
          <w:szCs w:val="20"/>
          <w:lang w:val="en-GB" w:eastAsia="de-CH"/>
        </w:rPr>
        <w:t>oH</w:t>
      </w:r>
      <w:r w:rsidRPr="00741074">
        <w:rPr>
          <w:rFonts w:cs="Arial"/>
          <w:color w:val="000000"/>
          <w:szCs w:val="20"/>
          <w:lang w:val="en-GB" w:eastAsia="de-CH"/>
        </w:rPr>
        <w:t xml:space="preserve"> will provide the necessary office space and equipment. The </w:t>
      </w:r>
      <w:r w:rsidR="00E35C1A" w:rsidRPr="00741074">
        <w:rPr>
          <w:rFonts w:cs="Arial"/>
          <w:color w:val="000000"/>
          <w:szCs w:val="20"/>
          <w:lang w:val="en-GB" w:eastAsia="de-CH"/>
        </w:rPr>
        <w:t xml:space="preserve">advisor </w:t>
      </w:r>
      <w:r w:rsidRPr="00741074">
        <w:rPr>
          <w:rFonts w:cs="Arial"/>
          <w:color w:val="000000"/>
          <w:szCs w:val="20"/>
          <w:lang w:val="en-GB" w:eastAsia="de-CH"/>
        </w:rPr>
        <w:t>can work from there or another location</w:t>
      </w:r>
      <w:r w:rsidR="00A86885" w:rsidRPr="00741074">
        <w:rPr>
          <w:rFonts w:cs="Arial"/>
          <w:color w:val="000000"/>
          <w:szCs w:val="20"/>
          <w:lang w:val="en-GB" w:eastAsia="de-CH"/>
        </w:rPr>
        <w:t>,</w:t>
      </w:r>
      <w:r w:rsidRPr="00741074">
        <w:rPr>
          <w:rFonts w:cs="Arial"/>
          <w:color w:val="000000"/>
          <w:szCs w:val="20"/>
          <w:lang w:val="en-GB" w:eastAsia="de-CH"/>
        </w:rPr>
        <w:t xml:space="preserve"> as deemed reasonable. </w:t>
      </w:r>
    </w:p>
    <w:bookmarkEnd w:id="2"/>
    <w:p w14:paraId="452563B3" w14:textId="3BC1AD08" w:rsidR="00944677" w:rsidRPr="00741074" w:rsidRDefault="00944677" w:rsidP="00125F90">
      <w:pPr>
        <w:pStyle w:val="Heading2"/>
        <w:keepLines/>
        <w:spacing w:before="200" w:line="276" w:lineRule="auto"/>
        <w:rPr>
          <w:rFonts w:eastAsiaTheme="majorEastAsia"/>
          <w:bCs/>
          <w:iCs w:val="0"/>
          <w:color w:val="4F81BD" w:themeColor="accent1"/>
          <w:kern w:val="0"/>
          <w:sz w:val="20"/>
          <w:szCs w:val="20"/>
          <w:lang w:val="en-GB"/>
        </w:rPr>
      </w:pPr>
      <w:r w:rsidRPr="00741074">
        <w:rPr>
          <w:rFonts w:eastAsiaTheme="majorEastAsia"/>
          <w:bCs/>
          <w:iCs w:val="0"/>
          <w:color w:val="4F81BD" w:themeColor="accent1"/>
          <w:kern w:val="0"/>
          <w:sz w:val="20"/>
          <w:szCs w:val="20"/>
          <w:lang w:val="en-GB"/>
        </w:rPr>
        <w:t>Confidentiality and Code of Conduct</w:t>
      </w:r>
    </w:p>
    <w:p w14:paraId="466E9927" w14:textId="5C394C15" w:rsidR="00944677" w:rsidRPr="00741074" w:rsidRDefault="00944677" w:rsidP="00270779">
      <w:pPr>
        <w:spacing w:before="100" w:beforeAutospacing="1" w:after="100" w:afterAutospacing="1"/>
        <w:jc w:val="both"/>
        <w:rPr>
          <w:rFonts w:eastAsia="Times New Roman" w:cs="Arial"/>
          <w:szCs w:val="20"/>
          <w:lang w:val="en-GB" w:eastAsia="de-CH"/>
        </w:rPr>
      </w:pPr>
      <w:bookmarkStart w:id="4" w:name="_Hlk215500971"/>
      <w:r w:rsidRPr="00741074">
        <w:rPr>
          <w:rFonts w:eastAsia="Times New Roman" w:cs="Arial"/>
          <w:szCs w:val="20"/>
          <w:lang w:val="en-GB" w:eastAsia="de-CH"/>
        </w:rPr>
        <w:t xml:space="preserve">The Policy Advisor will adhere to the Code of Conduct </w:t>
      </w:r>
      <w:r w:rsidR="00A86885" w:rsidRPr="00741074">
        <w:rPr>
          <w:rFonts w:eastAsia="Times New Roman" w:cs="Arial"/>
          <w:szCs w:val="20"/>
          <w:lang w:val="en-GB" w:eastAsia="de-CH"/>
        </w:rPr>
        <w:t xml:space="preserve">of the Swiss Agency for Development and Cooperation </w:t>
      </w:r>
      <w:r w:rsidRPr="00741074">
        <w:rPr>
          <w:rFonts w:eastAsia="Times New Roman" w:cs="Arial"/>
          <w:szCs w:val="20"/>
          <w:lang w:val="en-GB" w:eastAsia="de-CH"/>
        </w:rPr>
        <w:t>and confidentiality agreements, respecting the sensitive nature of health policy reforms. All reports and data produced during the assignment will be owned by the M</w:t>
      </w:r>
      <w:r w:rsidR="003B0DB3">
        <w:rPr>
          <w:rFonts w:eastAsia="Times New Roman" w:cs="Arial"/>
          <w:szCs w:val="20"/>
          <w:lang w:val="en-GB" w:eastAsia="de-CH"/>
        </w:rPr>
        <w:t>oH</w:t>
      </w:r>
      <w:r w:rsidRPr="00741074">
        <w:rPr>
          <w:rFonts w:eastAsia="Times New Roman" w:cs="Arial"/>
          <w:szCs w:val="20"/>
          <w:lang w:val="en-GB" w:eastAsia="de-CH"/>
        </w:rPr>
        <w:t xml:space="preserve"> </w:t>
      </w:r>
      <w:r w:rsidR="005805F4" w:rsidRPr="00741074">
        <w:rPr>
          <w:rFonts w:eastAsia="Times New Roman" w:cs="Arial"/>
          <w:szCs w:val="20"/>
          <w:lang w:val="en-GB" w:eastAsia="de-CH"/>
        </w:rPr>
        <w:t>and</w:t>
      </w:r>
      <w:r w:rsidR="00847345" w:rsidRPr="00741074">
        <w:rPr>
          <w:rFonts w:eastAsia="Times New Roman" w:cs="Arial"/>
          <w:szCs w:val="20"/>
          <w:lang w:val="en-GB" w:eastAsia="de-CH"/>
        </w:rPr>
        <w:t xml:space="preserve"> </w:t>
      </w:r>
      <w:r w:rsidR="00A86885" w:rsidRPr="00741074">
        <w:rPr>
          <w:rFonts w:eastAsia="Times New Roman" w:cs="Arial"/>
          <w:szCs w:val="20"/>
          <w:lang w:val="en-GB" w:eastAsia="de-CH"/>
        </w:rPr>
        <w:t>the SCO</w:t>
      </w:r>
      <w:r w:rsidR="005805F4" w:rsidRPr="00741074">
        <w:rPr>
          <w:rFonts w:eastAsia="Times New Roman" w:cs="Arial"/>
          <w:szCs w:val="20"/>
          <w:lang w:val="en-GB" w:eastAsia="de-CH"/>
        </w:rPr>
        <w:t xml:space="preserve"> </w:t>
      </w:r>
      <w:r w:rsidRPr="00741074">
        <w:rPr>
          <w:rFonts w:eastAsia="Times New Roman" w:cs="Arial"/>
          <w:szCs w:val="20"/>
          <w:lang w:val="en-GB" w:eastAsia="de-CH"/>
        </w:rPr>
        <w:t>and handled in compliance with relevant confidentiality protocols.</w:t>
      </w:r>
    </w:p>
    <w:bookmarkEnd w:id="4"/>
    <w:p w14:paraId="4101D165" w14:textId="77777777" w:rsidR="00485CFA" w:rsidRPr="00741074" w:rsidRDefault="00485CFA" w:rsidP="00143B0D">
      <w:pPr>
        <w:rPr>
          <w:rFonts w:cs="Arial"/>
          <w:szCs w:val="20"/>
          <w:lang w:val="en-GB"/>
        </w:rPr>
      </w:pPr>
    </w:p>
    <w:p w14:paraId="6B5144E1" w14:textId="77777777" w:rsidR="00485CFA" w:rsidRPr="00741074" w:rsidRDefault="00485CFA" w:rsidP="00143B0D">
      <w:pPr>
        <w:rPr>
          <w:rFonts w:cs="Arial"/>
          <w:szCs w:val="20"/>
          <w:lang w:val="en-GB"/>
        </w:rPr>
      </w:pPr>
    </w:p>
    <w:p w14:paraId="2C4AAB3C" w14:textId="2F298078" w:rsidR="00125F90" w:rsidRPr="00741074" w:rsidRDefault="00125F90" w:rsidP="00125F90">
      <w:pPr>
        <w:spacing w:after="200" w:line="276" w:lineRule="auto"/>
        <w:jc w:val="both"/>
        <w:rPr>
          <w:rFonts w:eastAsia="MS Mincho" w:cs="Arial"/>
          <w:szCs w:val="20"/>
          <w:lang w:val="en-GB"/>
        </w:rPr>
      </w:pPr>
      <w:bookmarkStart w:id="5" w:name="_Hlk215500994"/>
      <w:r w:rsidRPr="00741074">
        <w:rPr>
          <w:rFonts w:eastAsia="MS Mincho" w:cs="Arial"/>
          <w:szCs w:val="20"/>
          <w:lang w:val="en-GB"/>
        </w:rPr>
        <w:t>Date:</w:t>
      </w:r>
      <w:r w:rsidR="00744BEB" w:rsidRPr="00741074">
        <w:rPr>
          <w:rFonts w:eastAsia="MS Mincho" w:cs="Arial"/>
          <w:szCs w:val="20"/>
          <w:lang w:val="en-GB"/>
        </w:rPr>
        <w:t xml:space="preserve"> </w:t>
      </w:r>
      <w:r w:rsidR="00A840D0">
        <w:rPr>
          <w:rFonts w:eastAsia="MS Mincho" w:cs="Arial"/>
          <w:szCs w:val="20"/>
          <w:lang w:val="en-GB"/>
        </w:rPr>
        <w:t xml:space="preserve">17 </w:t>
      </w:r>
      <w:r w:rsidRPr="00741074">
        <w:rPr>
          <w:rFonts w:eastAsia="MS Mincho" w:cs="Arial"/>
          <w:szCs w:val="20"/>
          <w:lang w:val="en-GB"/>
        </w:rPr>
        <w:t xml:space="preserve">December 2025 </w:t>
      </w:r>
    </w:p>
    <w:p w14:paraId="3AF77FC0" w14:textId="43ECC0A4" w:rsidR="00271A55" w:rsidRPr="00741074" w:rsidRDefault="00271A55" w:rsidP="00143B0D">
      <w:pPr>
        <w:rPr>
          <w:rFonts w:cs="Arial"/>
          <w:szCs w:val="20"/>
          <w:lang w:val="en-GB"/>
        </w:rPr>
      </w:pPr>
    </w:p>
    <w:bookmarkEnd w:id="5"/>
    <w:p w14:paraId="0422D8E3" w14:textId="77777777" w:rsidR="00270779" w:rsidRPr="00741074" w:rsidRDefault="00270779" w:rsidP="00143B0D">
      <w:pPr>
        <w:rPr>
          <w:rFonts w:cs="Arial"/>
          <w:szCs w:val="20"/>
          <w:lang w:val="en-GB"/>
        </w:rPr>
      </w:pPr>
    </w:p>
    <w:p w14:paraId="0D1E0B98" w14:textId="77777777" w:rsidR="00270779" w:rsidRPr="00741074" w:rsidRDefault="00270779" w:rsidP="00143B0D">
      <w:pPr>
        <w:rPr>
          <w:rFonts w:cs="Arial"/>
          <w:szCs w:val="20"/>
          <w:lang w:val="en-GB"/>
        </w:rPr>
      </w:pPr>
    </w:p>
    <w:p w14:paraId="6BF346CA" w14:textId="77777777" w:rsidR="00270779" w:rsidRPr="00741074" w:rsidRDefault="00270779" w:rsidP="00143B0D">
      <w:pPr>
        <w:rPr>
          <w:rFonts w:cs="Arial"/>
          <w:szCs w:val="20"/>
          <w:lang w:val="en-GB"/>
        </w:rPr>
      </w:pPr>
    </w:p>
    <w:sectPr w:rsidR="00270779" w:rsidRPr="00741074" w:rsidSect="00371CA5">
      <w:pgSz w:w="11907" w:h="16840" w:code="9"/>
      <w:pgMar w:top="1440" w:right="1440" w:bottom="1440" w:left="1440" w:header="680" w:footer="1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2CF11" w14:textId="77777777" w:rsidR="002B3D0E" w:rsidRDefault="002B3D0E">
      <w:r>
        <w:separator/>
      </w:r>
    </w:p>
  </w:endnote>
  <w:endnote w:type="continuationSeparator" w:id="0">
    <w:p w14:paraId="2CC34CEA" w14:textId="77777777" w:rsidR="002B3D0E" w:rsidRDefault="002B3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493A1" w14:textId="77777777" w:rsidR="002B3D0E" w:rsidRDefault="002B3D0E">
      <w:r>
        <w:separator/>
      </w:r>
    </w:p>
  </w:footnote>
  <w:footnote w:type="continuationSeparator" w:id="0">
    <w:p w14:paraId="14A1EEA6" w14:textId="77777777" w:rsidR="002B3D0E" w:rsidRDefault="002B3D0E">
      <w:r>
        <w:continuationSeparator/>
      </w:r>
    </w:p>
  </w:footnote>
  <w:footnote w:id="1">
    <w:p w14:paraId="78226578" w14:textId="1A0552CB" w:rsidR="00F06B7F" w:rsidRDefault="00F06B7F">
      <w:pPr>
        <w:pStyle w:val="FootnoteText"/>
      </w:pPr>
      <w:r>
        <w:rPr>
          <w:rStyle w:val="FootnoteReference"/>
        </w:rPr>
        <w:footnoteRef/>
      </w:r>
      <w:r>
        <w:t xml:space="preserve"> The number of </w:t>
      </w:r>
      <w:proofErr w:type="spellStart"/>
      <w:r>
        <w:t>fwd</w:t>
      </w:r>
      <w:proofErr w:type="spellEnd"/>
      <w:r>
        <w:t xml:space="preserve"> is not fixed per sub-task and may change depending on the tasks at </w:t>
      </w:r>
      <w:proofErr w:type="gramStart"/>
      <w:r>
        <w:t>hand, but</w:t>
      </w:r>
      <w:proofErr w:type="gramEnd"/>
      <w:r>
        <w:t xml:space="preserve"> is indicative of where the focus should be.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4CCE"/>
    <w:multiLevelType w:val="multilevel"/>
    <w:tmpl w:val="70805F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D0356"/>
    <w:multiLevelType w:val="multilevel"/>
    <w:tmpl w:val="664E1B32"/>
    <w:lvl w:ilvl="0">
      <w:start w:val="1"/>
      <w:numFmt w:val="decimal"/>
      <w:pStyle w:val="Heading1"/>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pStyle w:val="Heading3"/>
      <w:lvlText w:val="%1.%2.%3."/>
      <w:lvlJc w:val="left"/>
      <w:pPr>
        <w:ind w:left="709" w:hanging="709"/>
      </w:pPr>
      <w:rPr>
        <w:rFonts w:hint="default"/>
      </w:rPr>
    </w:lvl>
    <w:lvl w:ilvl="3">
      <w:start w:val="1"/>
      <w:numFmt w:val="decimal"/>
      <w:pStyle w:val="Heading4"/>
      <w:lvlText w:val="%1.%2.%3.%4."/>
      <w:lvlJc w:val="left"/>
      <w:pPr>
        <w:ind w:left="709" w:hanging="709"/>
      </w:pPr>
      <w:rPr>
        <w:rFonts w:hint="default"/>
      </w:rPr>
    </w:lvl>
    <w:lvl w:ilvl="4">
      <w:start w:val="1"/>
      <w:numFmt w:val="decimal"/>
      <w:lvlText w:val="%1.%2.%3.%4.%5"/>
      <w:lvlJc w:val="left"/>
      <w:pPr>
        <w:ind w:left="709" w:hanging="709"/>
      </w:pPr>
      <w:rPr>
        <w:rFonts w:hint="default"/>
      </w:rPr>
    </w:lvl>
    <w:lvl w:ilvl="5">
      <w:start w:val="1"/>
      <w:numFmt w:val="decimal"/>
      <w:lvlText w:val="%1.%2.%3.%4.%5.%6"/>
      <w:lvlJc w:val="left"/>
      <w:pPr>
        <w:ind w:left="709" w:hanging="709"/>
      </w:pPr>
      <w:rPr>
        <w:rFonts w:hint="default"/>
      </w:rPr>
    </w:lvl>
    <w:lvl w:ilvl="6">
      <w:start w:val="1"/>
      <w:numFmt w:val="decimal"/>
      <w:lvlText w:val="%1.%2.%3.%4.%5.%6.%7"/>
      <w:lvlJc w:val="left"/>
      <w:pPr>
        <w:ind w:left="709" w:hanging="709"/>
      </w:pPr>
      <w:rPr>
        <w:rFonts w:hint="default"/>
      </w:rPr>
    </w:lvl>
    <w:lvl w:ilvl="7">
      <w:start w:val="1"/>
      <w:numFmt w:val="decimal"/>
      <w:lvlText w:val="%1.%2.%3.%4.%5.%6.%7.%8"/>
      <w:lvlJc w:val="left"/>
      <w:pPr>
        <w:ind w:left="709" w:hanging="709"/>
      </w:pPr>
      <w:rPr>
        <w:rFonts w:hint="default"/>
      </w:rPr>
    </w:lvl>
    <w:lvl w:ilvl="8">
      <w:start w:val="1"/>
      <w:numFmt w:val="decimal"/>
      <w:lvlText w:val="%1.%2.%3.%4.%5.%6.%7.%8.%9"/>
      <w:lvlJc w:val="left"/>
      <w:pPr>
        <w:ind w:left="709" w:hanging="709"/>
      </w:pPr>
      <w:rPr>
        <w:rFonts w:hint="default"/>
      </w:rPr>
    </w:lvl>
  </w:abstractNum>
  <w:abstractNum w:abstractNumId="2" w15:restartNumberingAfterBreak="0">
    <w:nsid w:val="068B33D2"/>
    <w:multiLevelType w:val="hybridMultilevel"/>
    <w:tmpl w:val="941A333E"/>
    <w:lvl w:ilvl="0" w:tplc="08070001">
      <w:start w:val="1"/>
      <w:numFmt w:val="bullet"/>
      <w:lvlText w:val=""/>
      <w:lvlJc w:val="left"/>
      <w:pPr>
        <w:ind w:left="1309" w:hanging="360"/>
      </w:pPr>
      <w:rPr>
        <w:rFonts w:ascii="Symbol" w:hAnsi="Symbol" w:hint="default"/>
      </w:rPr>
    </w:lvl>
    <w:lvl w:ilvl="1" w:tplc="08070003" w:tentative="1">
      <w:start w:val="1"/>
      <w:numFmt w:val="bullet"/>
      <w:lvlText w:val="o"/>
      <w:lvlJc w:val="left"/>
      <w:pPr>
        <w:ind w:left="2029" w:hanging="360"/>
      </w:pPr>
      <w:rPr>
        <w:rFonts w:ascii="Courier New" w:hAnsi="Courier New" w:cs="Courier New" w:hint="default"/>
      </w:rPr>
    </w:lvl>
    <w:lvl w:ilvl="2" w:tplc="08070005" w:tentative="1">
      <w:start w:val="1"/>
      <w:numFmt w:val="bullet"/>
      <w:lvlText w:val=""/>
      <w:lvlJc w:val="left"/>
      <w:pPr>
        <w:ind w:left="2749" w:hanging="360"/>
      </w:pPr>
      <w:rPr>
        <w:rFonts w:ascii="Wingdings" w:hAnsi="Wingdings" w:hint="default"/>
      </w:rPr>
    </w:lvl>
    <w:lvl w:ilvl="3" w:tplc="08070001" w:tentative="1">
      <w:start w:val="1"/>
      <w:numFmt w:val="bullet"/>
      <w:lvlText w:val=""/>
      <w:lvlJc w:val="left"/>
      <w:pPr>
        <w:ind w:left="3469" w:hanging="360"/>
      </w:pPr>
      <w:rPr>
        <w:rFonts w:ascii="Symbol" w:hAnsi="Symbol" w:hint="default"/>
      </w:rPr>
    </w:lvl>
    <w:lvl w:ilvl="4" w:tplc="08070003" w:tentative="1">
      <w:start w:val="1"/>
      <w:numFmt w:val="bullet"/>
      <w:lvlText w:val="o"/>
      <w:lvlJc w:val="left"/>
      <w:pPr>
        <w:ind w:left="4189" w:hanging="360"/>
      </w:pPr>
      <w:rPr>
        <w:rFonts w:ascii="Courier New" w:hAnsi="Courier New" w:cs="Courier New" w:hint="default"/>
      </w:rPr>
    </w:lvl>
    <w:lvl w:ilvl="5" w:tplc="08070005" w:tentative="1">
      <w:start w:val="1"/>
      <w:numFmt w:val="bullet"/>
      <w:lvlText w:val=""/>
      <w:lvlJc w:val="left"/>
      <w:pPr>
        <w:ind w:left="4909" w:hanging="360"/>
      </w:pPr>
      <w:rPr>
        <w:rFonts w:ascii="Wingdings" w:hAnsi="Wingdings" w:hint="default"/>
      </w:rPr>
    </w:lvl>
    <w:lvl w:ilvl="6" w:tplc="08070001" w:tentative="1">
      <w:start w:val="1"/>
      <w:numFmt w:val="bullet"/>
      <w:lvlText w:val=""/>
      <w:lvlJc w:val="left"/>
      <w:pPr>
        <w:ind w:left="5629" w:hanging="360"/>
      </w:pPr>
      <w:rPr>
        <w:rFonts w:ascii="Symbol" w:hAnsi="Symbol" w:hint="default"/>
      </w:rPr>
    </w:lvl>
    <w:lvl w:ilvl="7" w:tplc="08070003" w:tentative="1">
      <w:start w:val="1"/>
      <w:numFmt w:val="bullet"/>
      <w:lvlText w:val="o"/>
      <w:lvlJc w:val="left"/>
      <w:pPr>
        <w:ind w:left="6349" w:hanging="360"/>
      </w:pPr>
      <w:rPr>
        <w:rFonts w:ascii="Courier New" w:hAnsi="Courier New" w:cs="Courier New" w:hint="default"/>
      </w:rPr>
    </w:lvl>
    <w:lvl w:ilvl="8" w:tplc="08070005" w:tentative="1">
      <w:start w:val="1"/>
      <w:numFmt w:val="bullet"/>
      <w:lvlText w:val=""/>
      <w:lvlJc w:val="left"/>
      <w:pPr>
        <w:ind w:left="7069" w:hanging="360"/>
      </w:pPr>
      <w:rPr>
        <w:rFonts w:ascii="Wingdings" w:hAnsi="Wingdings" w:hint="default"/>
      </w:rPr>
    </w:lvl>
  </w:abstractNum>
  <w:abstractNum w:abstractNumId="3" w15:restartNumberingAfterBreak="0">
    <w:nsid w:val="10860BE4"/>
    <w:multiLevelType w:val="multilevel"/>
    <w:tmpl w:val="D3561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B0446D"/>
    <w:multiLevelType w:val="multilevel"/>
    <w:tmpl w:val="BE5C7C62"/>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042CA5"/>
    <w:multiLevelType w:val="multilevel"/>
    <w:tmpl w:val="BE5C7C62"/>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F90E9F"/>
    <w:multiLevelType w:val="multilevel"/>
    <w:tmpl w:val="0896B2AE"/>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7" w15:restartNumberingAfterBreak="0">
    <w:nsid w:val="1B9022BD"/>
    <w:multiLevelType w:val="multilevel"/>
    <w:tmpl w:val="E58E3868"/>
    <w:lvl w:ilvl="0">
      <w:start w:val="1"/>
      <w:numFmt w:val="decimal"/>
      <w:lvlText w:val="%1."/>
      <w:lvlJc w:val="left"/>
      <w:pPr>
        <w:tabs>
          <w:tab w:val="num" w:pos="714"/>
        </w:tabs>
        <w:ind w:left="354" w:hanging="360"/>
      </w:pPr>
      <w:rPr>
        <w:rFonts w:hint="default"/>
      </w:rPr>
    </w:lvl>
    <w:lvl w:ilvl="1">
      <w:start w:val="1"/>
      <w:numFmt w:val="decimal"/>
      <w:lvlText w:val="%1.%2."/>
      <w:lvlJc w:val="left"/>
      <w:pPr>
        <w:tabs>
          <w:tab w:val="num" w:pos="-3"/>
        </w:tabs>
        <w:ind w:left="-3" w:firstLine="0"/>
      </w:pPr>
      <w:rPr>
        <w:rFonts w:hint="default"/>
      </w:rPr>
    </w:lvl>
    <w:lvl w:ilvl="2">
      <w:start w:val="1"/>
      <w:numFmt w:val="decimal"/>
      <w:lvlText w:val="%2%1..%3."/>
      <w:lvlJc w:val="left"/>
      <w:pPr>
        <w:tabs>
          <w:tab w:val="num" w:pos="2154"/>
        </w:tabs>
        <w:ind w:left="1218" w:hanging="504"/>
      </w:pPr>
      <w:rPr>
        <w:rFonts w:hint="default"/>
      </w:rPr>
    </w:lvl>
    <w:lvl w:ilvl="3">
      <w:start w:val="1"/>
      <w:numFmt w:val="decimal"/>
      <w:lvlText w:val="%1.%2.%3.%4."/>
      <w:lvlJc w:val="left"/>
      <w:pPr>
        <w:tabs>
          <w:tab w:val="num" w:pos="2874"/>
        </w:tabs>
        <w:ind w:left="1722" w:hanging="648"/>
      </w:pPr>
      <w:rPr>
        <w:rFonts w:hint="default"/>
      </w:rPr>
    </w:lvl>
    <w:lvl w:ilvl="4">
      <w:start w:val="1"/>
      <w:numFmt w:val="decimal"/>
      <w:lvlText w:val="%1.%2.%3.%4.%5."/>
      <w:lvlJc w:val="left"/>
      <w:pPr>
        <w:tabs>
          <w:tab w:val="num" w:pos="3594"/>
        </w:tabs>
        <w:ind w:left="2226" w:hanging="792"/>
      </w:pPr>
      <w:rPr>
        <w:rFonts w:hint="default"/>
      </w:rPr>
    </w:lvl>
    <w:lvl w:ilvl="5">
      <w:start w:val="1"/>
      <w:numFmt w:val="decimal"/>
      <w:lvlText w:val="%1.%2.%3.%4.%5.%6."/>
      <w:lvlJc w:val="left"/>
      <w:pPr>
        <w:tabs>
          <w:tab w:val="num" w:pos="4314"/>
        </w:tabs>
        <w:ind w:left="2730" w:hanging="936"/>
      </w:pPr>
      <w:rPr>
        <w:rFonts w:hint="default"/>
      </w:rPr>
    </w:lvl>
    <w:lvl w:ilvl="6">
      <w:start w:val="1"/>
      <w:numFmt w:val="decimal"/>
      <w:lvlText w:val="%1.%2.%3.%4.%5.%6.%7."/>
      <w:lvlJc w:val="left"/>
      <w:pPr>
        <w:tabs>
          <w:tab w:val="num" w:pos="5034"/>
        </w:tabs>
        <w:ind w:left="3234" w:hanging="1080"/>
      </w:pPr>
      <w:rPr>
        <w:rFonts w:hint="default"/>
      </w:rPr>
    </w:lvl>
    <w:lvl w:ilvl="7">
      <w:start w:val="1"/>
      <w:numFmt w:val="decimal"/>
      <w:lvlText w:val="%1.%2.%3.%4.%5.%6.%7.%8."/>
      <w:lvlJc w:val="left"/>
      <w:pPr>
        <w:tabs>
          <w:tab w:val="num" w:pos="5754"/>
        </w:tabs>
        <w:ind w:left="3738" w:hanging="1224"/>
      </w:pPr>
      <w:rPr>
        <w:rFonts w:hint="default"/>
      </w:rPr>
    </w:lvl>
    <w:lvl w:ilvl="8">
      <w:start w:val="1"/>
      <w:numFmt w:val="decimal"/>
      <w:lvlText w:val="%1.%2.%3.%4.%5.%6.%7.%8.%9."/>
      <w:lvlJc w:val="left"/>
      <w:pPr>
        <w:tabs>
          <w:tab w:val="num" w:pos="6474"/>
        </w:tabs>
        <w:ind w:left="4314" w:hanging="1440"/>
      </w:pPr>
      <w:rPr>
        <w:rFonts w:hint="default"/>
      </w:rPr>
    </w:lvl>
  </w:abstractNum>
  <w:abstractNum w:abstractNumId="8" w15:restartNumberingAfterBreak="0">
    <w:nsid w:val="1C104245"/>
    <w:multiLevelType w:val="multilevel"/>
    <w:tmpl w:val="35C2B42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FD6043"/>
    <w:multiLevelType w:val="hybridMultilevel"/>
    <w:tmpl w:val="5BDA17FE"/>
    <w:lvl w:ilvl="0" w:tplc="B156C248">
      <w:start w:val="1"/>
      <w:numFmt w:val="bullet"/>
      <w:lvlText w:val=""/>
      <w:lvlJc w:val="left"/>
      <w:pPr>
        <w:ind w:left="720" w:hanging="360"/>
      </w:pPr>
      <w:rPr>
        <w:rFonts w:ascii="Symbol" w:hAnsi="Symbol" w:hint="default"/>
      </w:rPr>
    </w:lvl>
    <w:lvl w:ilvl="1" w:tplc="0807000D">
      <w:start w:val="1"/>
      <w:numFmt w:val="bullet"/>
      <w:lvlText w:val=""/>
      <w:lvlJc w:val="left"/>
      <w:pPr>
        <w:ind w:left="1440" w:hanging="360"/>
      </w:pPr>
      <w:rPr>
        <w:rFonts w:ascii="Wingdings" w:hAnsi="Wingdings"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33532BE4"/>
    <w:multiLevelType w:val="multilevel"/>
    <w:tmpl w:val="BE5C7C62"/>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A54BA1"/>
    <w:multiLevelType w:val="hybridMultilevel"/>
    <w:tmpl w:val="4D44C20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3B672D38"/>
    <w:multiLevelType w:val="multilevel"/>
    <w:tmpl w:val="BE5C7C62"/>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E3210D"/>
    <w:multiLevelType w:val="multilevel"/>
    <w:tmpl w:val="BE5C7C62"/>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A57672"/>
    <w:multiLevelType w:val="hybridMultilevel"/>
    <w:tmpl w:val="79D687DA"/>
    <w:lvl w:ilvl="0" w:tplc="B156C248">
      <w:start w:val="1"/>
      <w:numFmt w:val="bullet"/>
      <w:lvlText w:val=""/>
      <w:lvlJc w:val="left"/>
      <w:pPr>
        <w:ind w:left="720" w:hanging="360"/>
      </w:pPr>
      <w:rPr>
        <w:rFonts w:ascii="Symbol" w:hAnsi="Symbol" w:hint="default"/>
      </w:rPr>
    </w:lvl>
    <w:lvl w:ilvl="1" w:tplc="1DF6BAEC">
      <w:start w:val="1"/>
      <w:numFmt w:val="bullet"/>
      <w:lvlText w:val=""/>
      <w:lvlJc w:val="left"/>
      <w:pPr>
        <w:ind w:left="1440" w:hanging="360"/>
      </w:pPr>
      <w:rPr>
        <w:rFonts w:ascii="Arial" w:hAnsi="Arial"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3EFB6B35"/>
    <w:multiLevelType w:val="hybridMultilevel"/>
    <w:tmpl w:val="3CE4741C"/>
    <w:lvl w:ilvl="0" w:tplc="08070001">
      <w:start w:val="1"/>
      <w:numFmt w:val="bullet"/>
      <w:lvlText w:val=""/>
      <w:lvlJc w:val="left"/>
      <w:pPr>
        <w:ind w:left="1146" w:hanging="360"/>
      </w:pPr>
      <w:rPr>
        <w:rFonts w:ascii="Symbol" w:hAnsi="Symbol" w:hint="default"/>
      </w:rPr>
    </w:lvl>
    <w:lvl w:ilvl="1" w:tplc="08070003" w:tentative="1">
      <w:start w:val="1"/>
      <w:numFmt w:val="bullet"/>
      <w:lvlText w:val="o"/>
      <w:lvlJc w:val="left"/>
      <w:pPr>
        <w:ind w:left="1866" w:hanging="360"/>
      </w:pPr>
      <w:rPr>
        <w:rFonts w:ascii="Courier New" w:hAnsi="Courier New" w:cs="Courier New" w:hint="default"/>
      </w:rPr>
    </w:lvl>
    <w:lvl w:ilvl="2" w:tplc="08070005" w:tentative="1">
      <w:start w:val="1"/>
      <w:numFmt w:val="bullet"/>
      <w:lvlText w:val=""/>
      <w:lvlJc w:val="left"/>
      <w:pPr>
        <w:ind w:left="2586" w:hanging="360"/>
      </w:pPr>
      <w:rPr>
        <w:rFonts w:ascii="Wingdings" w:hAnsi="Wingdings" w:hint="default"/>
      </w:rPr>
    </w:lvl>
    <w:lvl w:ilvl="3" w:tplc="08070001" w:tentative="1">
      <w:start w:val="1"/>
      <w:numFmt w:val="bullet"/>
      <w:lvlText w:val=""/>
      <w:lvlJc w:val="left"/>
      <w:pPr>
        <w:ind w:left="3306" w:hanging="360"/>
      </w:pPr>
      <w:rPr>
        <w:rFonts w:ascii="Symbol" w:hAnsi="Symbol" w:hint="default"/>
      </w:rPr>
    </w:lvl>
    <w:lvl w:ilvl="4" w:tplc="08070003" w:tentative="1">
      <w:start w:val="1"/>
      <w:numFmt w:val="bullet"/>
      <w:lvlText w:val="o"/>
      <w:lvlJc w:val="left"/>
      <w:pPr>
        <w:ind w:left="4026" w:hanging="360"/>
      </w:pPr>
      <w:rPr>
        <w:rFonts w:ascii="Courier New" w:hAnsi="Courier New" w:cs="Courier New" w:hint="default"/>
      </w:rPr>
    </w:lvl>
    <w:lvl w:ilvl="5" w:tplc="08070005" w:tentative="1">
      <w:start w:val="1"/>
      <w:numFmt w:val="bullet"/>
      <w:lvlText w:val=""/>
      <w:lvlJc w:val="left"/>
      <w:pPr>
        <w:ind w:left="4746" w:hanging="360"/>
      </w:pPr>
      <w:rPr>
        <w:rFonts w:ascii="Wingdings" w:hAnsi="Wingdings" w:hint="default"/>
      </w:rPr>
    </w:lvl>
    <w:lvl w:ilvl="6" w:tplc="08070001" w:tentative="1">
      <w:start w:val="1"/>
      <w:numFmt w:val="bullet"/>
      <w:lvlText w:val=""/>
      <w:lvlJc w:val="left"/>
      <w:pPr>
        <w:ind w:left="5466" w:hanging="360"/>
      </w:pPr>
      <w:rPr>
        <w:rFonts w:ascii="Symbol" w:hAnsi="Symbol" w:hint="default"/>
      </w:rPr>
    </w:lvl>
    <w:lvl w:ilvl="7" w:tplc="08070003" w:tentative="1">
      <w:start w:val="1"/>
      <w:numFmt w:val="bullet"/>
      <w:lvlText w:val="o"/>
      <w:lvlJc w:val="left"/>
      <w:pPr>
        <w:ind w:left="6186" w:hanging="360"/>
      </w:pPr>
      <w:rPr>
        <w:rFonts w:ascii="Courier New" w:hAnsi="Courier New" w:cs="Courier New" w:hint="default"/>
      </w:rPr>
    </w:lvl>
    <w:lvl w:ilvl="8" w:tplc="08070005" w:tentative="1">
      <w:start w:val="1"/>
      <w:numFmt w:val="bullet"/>
      <w:lvlText w:val=""/>
      <w:lvlJc w:val="left"/>
      <w:pPr>
        <w:ind w:left="6906" w:hanging="360"/>
      </w:pPr>
      <w:rPr>
        <w:rFonts w:ascii="Wingdings" w:hAnsi="Wingdings" w:hint="default"/>
      </w:rPr>
    </w:lvl>
  </w:abstractNum>
  <w:abstractNum w:abstractNumId="16" w15:restartNumberingAfterBreak="0">
    <w:nsid w:val="3F8053CE"/>
    <w:multiLevelType w:val="multilevel"/>
    <w:tmpl w:val="70EA49D4"/>
    <w:lvl w:ilvl="0">
      <w:start w:val="1"/>
      <w:numFmt w:val="upperLetter"/>
      <w:lvlText w:val="%1."/>
      <w:lvlJc w:val="left"/>
      <w:pPr>
        <w:tabs>
          <w:tab w:val="num" w:pos="720"/>
        </w:tabs>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DE33BC3"/>
    <w:multiLevelType w:val="hybridMultilevel"/>
    <w:tmpl w:val="BF52658E"/>
    <w:lvl w:ilvl="0" w:tplc="06E8548A">
      <w:numFmt w:val="bullet"/>
      <w:lvlText w:val="-"/>
      <w:lvlJc w:val="left"/>
      <w:pPr>
        <w:ind w:left="786" w:hanging="360"/>
      </w:pPr>
      <w:rPr>
        <w:rFonts w:ascii="Arial" w:eastAsiaTheme="minorHAnsi" w:hAnsi="Arial" w:cs="Arial" w:hint="default"/>
      </w:rPr>
    </w:lvl>
    <w:lvl w:ilvl="1" w:tplc="08070003" w:tentative="1">
      <w:start w:val="1"/>
      <w:numFmt w:val="bullet"/>
      <w:lvlText w:val="o"/>
      <w:lvlJc w:val="left"/>
      <w:pPr>
        <w:ind w:left="1506" w:hanging="360"/>
      </w:pPr>
      <w:rPr>
        <w:rFonts w:ascii="Courier New" w:hAnsi="Courier New" w:cs="Courier New" w:hint="default"/>
      </w:rPr>
    </w:lvl>
    <w:lvl w:ilvl="2" w:tplc="08070005" w:tentative="1">
      <w:start w:val="1"/>
      <w:numFmt w:val="bullet"/>
      <w:lvlText w:val=""/>
      <w:lvlJc w:val="left"/>
      <w:pPr>
        <w:ind w:left="2226" w:hanging="360"/>
      </w:pPr>
      <w:rPr>
        <w:rFonts w:ascii="Wingdings" w:hAnsi="Wingdings" w:hint="default"/>
      </w:rPr>
    </w:lvl>
    <w:lvl w:ilvl="3" w:tplc="08070001" w:tentative="1">
      <w:start w:val="1"/>
      <w:numFmt w:val="bullet"/>
      <w:lvlText w:val=""/>
      <w:lvlJc w:val="left"/>
      <w:pPr>
        <w:ind w:left="2946" w:hanging="360"/>
      </w:pPr>
      <w:rPr>
        <w:rFonts w:ascii="Symbol" w:hAnsi="Symbol" w:hint="default"/>
      </w:rPr>
    </w:lvl>
    <w:lvl w:ilvl="4" w:tplc="08070003" w:tentative="1">
      <w:start w:val="1"/>
      <w:numFmt w:val="bullet"/>
      <w:lvlText w:val="o"/>
      <w:lvlJc w:val="left"/>
      <w:pPr>
        <w:ind w:left="3666" w:hanging="360"/>
      </w:pPr>
      <w:rPr>
        <w:rFonts w:ascii="Courier New" w:hAnsi="Courier New" w:cs="Courier New" w:hint="default"/>
      </w:rPr>
    </w:lvl>
    <w:lvl w:ilvl="5" w:tplc="08070005" w:tentative="1">
      <w:start w:val="1"/>
      <w:numFmt w:val="bullet"/>
      <w:lvlText w:val=""/>
      <w:lvlJc w:val="left"/>
      <w:pPr>
        <w:ind w:left="4386" w:hanging="360"/>
      </w:pPr>
      <w:rPr>
        <w:rFonts w:ascii="Wingdings" w:hAnsi="Wingdings" w:hint="default"/>
      </w:rPr>
    </w:lvl>
    <w:lvl w:ilvl="6" w:tplc="08070001" w:tentative="1">
      <w:start w:val="1"/>
      <w:numFmt w:val="bullet"/>
      <w:lvlText w:val=""/>
      <w:lvlJc w:val="left"/>
      <w:pPr>
        <w:ind w:left="5106" w:hanging="360"/>
      </w:pPr>
      <w:rPr>
        <w:rFonts w:ascii="Symbol" w:hAnsi="Symbol" w:hint="default"/>
      </w:rPr>
    </w:lvl>
    <w:lvl w:ilvl="7" w:tplc="08070003" w:tentative="1">
      <w:start w:val="1"/>
      <w:numFmt w:val="bullet"/>
      <w:lvlText w:val="o"/>
      <w:lvlJc w:val="left"/>
      <w:pPr>
        <w:ind w:left="5826" w:hanging="360"/>
      </w:pPr>
      <w:rPr>
        <w:rFonts w:ascii="Courier New" w:hAnsi="Courier New" w:cs="Courier New" w:hint="default"/>
      </w:rPr>
    </w:lvl>
    <w:lvl w:ilvl="8" w:tplc="08070005" w:tentative="1">
      <w:start w:val="1"/>
      <w:numFmt w:val="bullet"/>
      <w:lvlText w:val=""/>
      <w:lvlJc w:val="left"/>
      <w:pPr>
        <w:ind w:left="6546" w:hanging="360"/>
      </w:pPr>
      <w:rPr>
        <w:rFonts w:ascii="Wingdings" w:hAnsi="Wingdings" w:hint="default"/>
      </w:rPr>
    </w:lvl>
  </w:abstractNum>
  <w:abstractNum w:abstractNumId="18" w15:restartNumberingAfterBreak="0">
    <w:nsid w:val="52F55013"/>
    <w:multiLevelType w:val="multilevel"/>
    <w:tmpl w:val="56A8B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39C5932"/>
    <w:multiLevelType w:val="multilevel"/>
    <w:tmpl w:val="BE5C7C62"/>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2035BD"/>
    <w:multiLevelType w:val="hybridMultilevel"/>
    <w:tmpl w:val="B374E15C"/>
    <w:lvl w:ilvl="0" w:tplc="B156C248">
      <w:start w:val="1"/>
      <w:numFmt w:val="bullet"/>
      <w:lvlText w:val=""/>
      <w:lvlJc w:val="left"/>
      <w:pPr>
        <w:ind w:left="720" w:hanging="360"/>
      </w:pPr>
      <w:rPr>
        <w:rFonts w:ascii="Symbol" w:hAnsi="Symbol" w:hint="default"/>
      </w:rPr>
    </w:lvl>
    <w:lvl w:ilvl="1" w:tplc="B156C248">
      <w:start w:val="1"/>
      <w:numFmt w:val="bullet"/>
      <w:lvlText w:val=""/>
      <w:lvlJc w:val="left"/>
      <w:pPr>
        <w:ind w:left="1440" w:hanging="360"/>
      </w:pPr>
      <w:rPr>
        <w:rFonts w:ascii="Symbol" w:hAnsi="Symbol"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573E361C"/>
    <w:multiLevelType w:val="multilevel"/>
    <w:tmpl w:val="BE5C7C62"/>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96C432C"/>
    <w:multiLevelType w:val="multilevel"/>
    <w:tmpl w:val="63EA96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53722B"/>
    <w:multiLevelType w:val="multilevel"/>
    <w:tmpl w:val="7ACE9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DA94C29"/>
    <w:multiLevelType w:val="hybridMultilevel"/>
    <w:tmpl w:val="F1D86A88"/>
    <w:lvl w:ilvl="0" w:tplc="B156C248">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6FAA09F5"/>
    <w:multiLevelType w:val="multilevel"/>
    <w:tmpl w:val="BE5C7C62"/>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FD76A8D"/>
    <w:multiLevelType w:val="multilevel"/>
    <w:tmpl w:val="DEBED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204556"/>
    <w:multiLevelType w:val="multilevel"/>
    <w:tmpl w:val="36E8BE44"/>
    <w:lvl w:ilvl="0">
      <w:start w:val="1"/>
      <w:numFmt w:val="decimal"/>
      <w:lvlText w:val="%1."/>
      <w:lvlJc w:val="left"/>
      <w:pPr>
        <w:tabs>
          <w:tab w:val="num" w:pos="717"/>
        </w:tabs>
        <w:ind w:left="357" w:hanging="36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2157"/>
        </w:tabs>
        <w:ind w:left="1221" w:hanging="504"/>
      </w:pPr>
      <w:rPr>
        <w:rFonts w:hint="default"/>
      </w:rPr>
    </w:lvl>
    <w:lvl w:ilvl="3">
      <w:start w:val="1"/>
      <w:numFmt w:val="decimal"/>
      <w:lvlText w:val="%1.%2.%3.%4."/>
      <w:lvlJc w:val="left"/>
      <w:pPr>
        <w:tabs>
          <w:tab w:val="num" w:pos="2877"/>
        </w:tabs>
        <w:ind w:left="1725" w:hanging="648"/>
      </w:pPr>
      <w:rPr>
        <w:rFonts w:hint="default"/>
      </w:rPr>
    </w:lvl>
    <w:lvl w:ilvl="4">
      <w:start w:val="1"/>
      <w:numFmt w:val="decimal"/>
      <w:lvlText w:val="%1.%2.%3.%4.%5."/>
      <w:lvlJc w:val="left"/>
      <w:pPr>
        <w:tabs>
          <w:tab w:val="num" w:pos="3597"/>
        </w:tabs>
        <w:ind w:left="2229" w:hanging="792"/>
      </w:pPr>
      <w:rPr>
        <w:rFonts w:hint="default"/>
      </w:rPr>
    </w:lvl>
    <w:lvl w:ilvl="5">
      <w:start w:val="1"/>
      <w:numFmt w:val="decimal"/>
      <w:lvlText w:val="%1.%2.%3.%4.%5.%6."/>
      <w:lvlJc w:val="left"/>
      <w:pPr>
        <w:tabs>
          <w:tab w:val="num" w:pos="4317"/>
        </w:tabs>
        <w:ind w:left="2733" w:hanging="936"/>
      </w:pPr>
      <w:rPr>
        <w:rFonts w:hint="default"/>
      </w:rPr>
    </w:lvl>
    <w:lvl w:ilvl="6">
      <w:start w:val="1"/>
      <w:numFmt w:val="decimal"/>
      <w:lvlText w:val="%1.%2.%3.%4.%5.%6.%7."/>
      <w:lvlJc w:val="left"/>
      <w:pPr>
        <w:tabs>
          <w:tab w:val="num" w:pos="5037"/>
        </w:tabs>
        <w:ind w:left="3237" w:hanging="1080"/>
      </w:pPr>
      <w:rPr>
        <w:rFonts w:hint="default"/>
      </w:rPr>
    </w:lvl>
    <w:lvl w:ilvl="7">
      <w:start w:val="1"/>
      <w:numFmt w:val="decimal"/>
      <w:lvlText w:val="%1.%2.%3.%4.%5.%6.%7.%8."/>
      <w:lvlJc w:val="left"/>
      <w:pPr>
        <w:tabs>
          <w:tab w:val="num" w:pos="5757"/>
        </w:tabs>
        <w:ind w:left="3741" w:hanging="1224"/>
      </w:pPr>
      <w:rPr>
        <w:rFonts w:hint="default"/>
      </w:rPr>
    </w:lvl>
    <w:lvl w:ilvl="8">
      <w:start w:val="1"/>
      <w:numFmt w:val="decimal"/>
      <w:lvlText w:val="%1.%2.%3.%4.%5.%6.%7.%8.%9."/>
      <w:lvlJc w:val="left"/>
      <w:pPr>
        <w:tabs>
          <w:tab w:val="num" w:pos="6477"/>
        </w:tabs>
        <w:ind w:left="4317" w:hanging="1440"/>
      </w:pPr>
      <w:rPr>
        <w:rFonts w:hint="default"/>
      </w:rPr>
    </w:lvl>
  </w:abstractNum>
  <w:abstractNum w:abstractNumId="28" w15:restartNumberingAfterBreak="0">
    <w:nsid w:val="712F619C"/>
    <w:multiLevelType w:val="multilevel"/>
    <w:tmpl w:val="BE5C7C62"/>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1C43158"/>
    <w:multiLevelType w:val="multilevel"/>
    <w:tmpl w:val="55EA7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9167A4"/>
    <w:multiLevelType w:val="multilevel"/>
    <w:tmpl w:val="899CA2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5398895">
    <w:abstractNumId w:val="1"/>
  </w:num>
  <w:num w:numId="2" w16cid:durableId="883982327">
    <w:abstractNumId w:val="6"/>
  </w:num>
  <w:num w:numId="3" w16cid:durableId="266817455">
    <w:abstractNumId w:val="27"/>
  </w:num>
  <w:num w:numId="4" w16cid:durableId="1674599529">
    <w:abstractNumId w:val="7"/>
  </w:num>
  <w:num w:numId="5" w16cid:durableId="4874783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0259628">
    <w:abstractNumId w:val="15"/>
  </w:num>
  <w:num w:numId="7" w16cid:durableId="1175263268">
    <w:abstractNumId w:val="17"/>
  </w:num>
  <w:num w:numId="8" w16cid:durableId="701563640">
    <w:abstractNumId w:val="23"/>
  </w:num>
  <w:num w:numId="9" w16cid:durableId="1971739867">
    <w:abstractNumId w:val="16"/>
  </w:num>
  <w:num w:numId="10" w16cid:durableId="2097894135">
    <w:abstractNumId w:val="30"/>
  </w:num>
  <w:num w:numId="11" w16cid:durableId="1093823518">
    <w:abstractNumId w:val="3"/>
  </w:num>
  <w:num w:numId="12" w16cid:durableId="1584610818">
    <w:abstractNumId w:val="18"/>
  </w:num>
  <w:num w:numId="13" w16cid:durableId="812257554">
    <w:abstractNumId w:val="29"/>
  </w:num>
  <w:num w:numId="14" w16cid:durableId="1911455168">
    <w:abstractNumId w:val="5"/>
  </w:num>
  <w:num w:numId="15" w16cid:durableId="515072515">
    <w:abstractNumId w:val="28"/>
  </w:num>
  <w:num w:numId="16" w16cid:durableId="1788234411">
    <w:abstractNumId w:val="21"/>
  </w:num>
  <w:num w:numId="17" w16cid:durableId="1590693785">
    <w:abstractNumId w:val="4"/>
  </w:num>
  <w:num w:numId="18" w16cid:durableId="142623255">
    <w:abstractNumId w:val="25"/>
  </w:num>
  <w:num w:numId="19" w16cid:durableId="743527533">
    <w:abstractNumId w:val="10"/>
  </w:num>
  <w:num w:numId="20" w16cid:durableId="1740010336">
    <w:abstractNumId w:val="13"/>
  </w:num>
  <w:num w:numId="21" w16cid:durableId="1558392701">
    <w:abstractNumId w:val="11"/>
  </w:num>
  <w:num w:numId="22" w16cid:durableId="1727871208">
    <w:abstractNumId w:val="19"/>
  </w:num>
  <w:num w:numId="23" w16cid:durableId="535123487">
    <w:abstractNumId w:val="0"/>
  </w:num>
  <w:num w:numId="24" w16cid:durableId="396515275">
    <w:abstractNumId w:val="24"/>
  </w:num>
  <w:num w:numId="25" w16cid:durableId="1917469191">
    <w:abstractNumId w:val="20"/>
  </w:num>
  <w:num w:numId="26" w16cid:durableId="430856592">
    <w:abstractNumId w:val="14"/>
  </w:num>
  <w:num w:numId="27" w16cid:durableId="922031876">
    <w:abstractNumId w:val="9"/>
  </w:num>
  <w:num w:numId="28" w16cid:durableId="1101991674">
    <w:abstractNumId w:val="22"/>
  </w:num>
  <w:num w:numId="29" w16cid:durableId="803931069">
    <w:abstractNumId w:val="2"/>
  </w:num>
  <w:num w:numId="30" w16cid:durableId="1426539583">
    <w:abstractNumId w:val="8"/>
  </w:num>
  <w:num w:numId="31" w16cid:durableId="1197810247">
    <w:abstractNumId w:val="26"/>
  </w:num>
  <w:num w:numId="32" w16cid:durableId="1721637139">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CH" w:vendorID="64" w:dllVersion="6" w:nlCheck="1" w:checkStyle="1"/>
  <w:activeWritingStyle w:appName="MSWord" w:lang="en-US" w:vendorID="64" w:dllVersion="6" w:nlCheck="1" w:checkStyle="1"/>
  <w:activeWritingStyle w:appName="MSWord" w:lang="fr-CH" w:vendorID="64" w:dllVersion="6" w:nlCheck="1" w:checkStyle="1"/>
  <w:activeWritingStyle w:appName="MSWord" w:lang="en-US" w:vendorID="64" w:dllVersion="4096" w:nlCheck="1" w:checkStyle="0"/>
  <w:activeWritingStyle w:appName="MSWord" w:lang="de-CH" w:vendorID="64" w:dllVersion="4096" w:nlCheck="1" w:checkStyle="0"/>
  <w:activeWritingStyle w:appName="MSWord" w:lang="en-GB" w:vendorID="64" w:dllVersion="4096" w:nlCheck="1" w:checkStyle="0"/>
  <w:activeWritingStyle w:appName="MSWord" w:lang="fr-CH" w:vendorID="64" w:dllVersion="4096" w:nlCheck="1" w:checkStyle="0"/>
  <w:activeWritingStyle w:appName="MSWord" w:lang="en-US" w:vendorID="64" w:dllVersion="0" w:nlCheck="1" w:checkStyle="0"/>
  <w:activeWritingStyle w:appName="MSWord" w:lang="en-GB" w:vendorID="64" w:dllVersion="0" w:nlCheck="1" w:checkStyle="0"/>
  <w:activeWritingStyle w:appName="MSWord" w:lang="de-CH"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B0D"/>
    <w:rsid w:val="000063B0"/>
    <w:rsid w:val="000069C8"/>
    <w:rsid w:val="000124D8"/>
    <w:rsid w:val="000235B8"/>
    <w:rsid w:val="000579DB"/>
    <w:rsid w:val="000663AA"/>
    <w:rsid w:val="000830D3"/>
    <w:rsid w:val="00097072"/>
    <w:rsid w:val="000C1CA6"/>
    <w:rsid w:val="000C379F"/>
    <w:rsid w:val="000C7DCA"/>
    <w:rsid w:val="000D1071"/>
    <w:rsid w:val="000E621F"/>
    <w:rsid w:val="001071BB"/>
    <w:rsid w:val="00125BF4"/>
    <w:rsid w:val="00125F90"/>
    <w:rsid w:val="00136234"/>
    <w:rsid w:val="00137B2B"/>
    <w:rsid w:val="0014327D"/>
    <w:rsid w:val="00143B0D"/>
    <w:rsid w:val="00147A57"/>
    <w:rsid w:val="001545B6"/>
    <w:rsid w:val="001602D8"/>
    <w:rsid w:val="001A7506"/>
    <w:rsid w:val="001B4152"/>
    <w:rsid w:val="001C247B"/>
    <w:rsid w:val="001C26AE"/>
    <w:rsid w:val="001C26E7"/>
    <w:rsid w:val="001D04CF"/>
    <w:rsid w:val="001E23FF"/>
    <w:rsid w:val="001E589F"/>
    <w:rsid w:val="00206300"/>
    <w:rsid w:val="002105A8"/>
    <w:rsid w:val="002200CB"/>
    <w:rsid w:val="002202C9"/>
    <w:rsid w:val="00223ED6"/>
    <w:rsid w:val="00235850"/>
    <w:rsid w:val="0024099D"/>
    <w:rsid w:val="00246F40"/>
    <w:rsid w:val="0025256C"/>
    <w:rsid w:val="00261C9F"/>
    <w:rsid w:val="00265C8D"/>
    <w:rsid w:val="00270779"/>
    <w:rsid w:val="002710A1"/>
    <w:rsid w:val="00271A55"/>
    <w:rsid w:val="00281C11"/>
    <w:rsid w:val="00281EC0"/>
    <w:rsid w:val="0028733B"/>
    <w:rsid w:val="002931D2"/>
    <w:rsid w:val="002A2F2F"/>
    <w:rsid w:val="002A3824"/>
    <w:rsid w:val="002B3D0E"/>
    <w:rsid w:val="002B4F27"/>
    <w:rsid w:val="002C1EEC"/>
    <w:rsid w:val="002F0088"/>
    <w:rsid w:val="002F1078"/>
    <w:rsid w:val="002F12C5"/>
    <w:rsid w:val="002F2DE5"/>
    <w:rsid w:val="00311907"/>
    <w:rsid w:val="003132A3"/>
    <w:rsid w:val="00317B7B"/>
    <w:rsid w:val="00330F50"/>
    <w:rsid w:val="003420DE"/>
    <w:rsid w:val="00345274"/>
    <w:rsid w:val="00355BC2"/>
    <w:rsid w:val="00361440"/>
    <w:rsid w:val="00364E08"/>
    <w:rsid w:val="003707C8"/>
    <w:rsid w:val="00371CA5"/>
    <w:rsid w:val="00377486"/>
    <w:rsid w:val="00385B0E"/>
    <w:rsid w:val="00387147"/>
    <w:rsid w:val="00396572"/>
    <w:rsid w:val="003A0B06"/>
    <w:rsid w:val="003A2E6A"/>
    <w:rsid w:val="003B0AFB"/>
    <w:rsid w:val="003B0DB3"/>
    <w:rsid w:val="003B28EB"/>
    <w:rsid w:val="003B5999"/>
    <w:rsid w:val="003C7402"/>
    <w:rsid w:val="003E6316"/>
    <w:rsid w:val="003F231B"/>
    <w:rsid w:val="0043190D"/>
    <w:rsid w:val="00434128"/>
    <w:rsid w:val="00483FAE"/>
    <w:rsid w:val="00485CFA"/>
    <w:rsid w:val="004A2410"/>
    <w:rsid w:val="004A2865"/>
    <w:rsid w:val="004D3C5B"/>
    <w:rsid w:val="004E1E5C"/>
    <w:rsid w:val="004F05BD"/>
    <w:rsid w:val="004F7E72"/>
    <w:rsid w:val="00517F08"/>
    <w:rsid w:val="00536BAE"/>
    <w:rsid w:val="00537DC6"/>
    <w:rsid w:val="005466E0"/>
    <w:rsid w:val="00564648"/>
    <w:rsid w:val="00571DE8"/>
    <w:rsid w:val="005805F4"/>
    <w:rsid w:val="00597075"/>
    <w:rsid w:val="005A6C13"/>
    <w:rsid w:val="005C6A4E"/>
    <w:rsid w:val="0061415F"/>
    <w:rsid w:val="00615FA5"/>
    <w:rsid w:val="00616296"/>
    <w:rsid w:val="00624A2E"/>
    <w:rsid w:val="0062680A"/>
    <w:rsid w:val="00633061"/>
    <w:rsid w:val="00651B1B"/>
    <w:rsid w:val="006641E8"/>
    <w:rsid w:val="00670B8B"/>
    <w:rsid w:val="00683078"/>
    <w:rsid w:val="0068340B"/>
    <w:rsid w:val="00686C5E"/>
    <w:rsid w:val="0068736D"/>
    <w:rsid w:val="0069419F"/>
    <w:rsid w:val="006A097B"/>
    <w:rsid w:val="006A7644"/>
    <w:rsid w:val="006A77B2"/>
    <w:rsid w:val="006C315E"/>
    <w:rsid w:val="006C76BD"/>
    <w:rsid w:val="006E30FB"/>
    <w:rsid w:val="006F0E17"/>
    <w:rsid w:val="006F38F1"/>
    <w:rsid w:val="006F4428"/>
    <w:rsid w:val="006F554B"/>
    <w:rsid w:val="00700C28"/>
    <w:rsid w:val="00706EB7"/>
    <w:rsid w:val="00712626"/>
    <w:rsid w:val="00720DC9"/>
    <w:rsid w:val="00731CD0"/>
    <w:rsid w:val="00737C62"/>
    <w:rsid w:val="00741074"/>
    <w:rsid w:val="00742E61"/>
    <w:rsid w:val="00744BEB"/>
    <w:rsid w:val="007552B7"/>
    <w:rsid w:val="00770489"/>
    <w:rsid w:val="00774024"/>
    <w:rsid w:val="00774408"/>
    <w:rsid w:val="00780D9E"/>
    <w:rsid w:val="00782DC4"/>
    <w:rsid w:val="007940BD"/>
    <w:rsid w:val="00795E1D"/>
    <w:rsid w:val="007A0196"/>
    <w:rsid w:val="007B6835"/>
    <w:rsid w:val="007C4DA6"/>
    <w:rsid w:val="007D2D97"/>
    <w:rsid w:val="007D57E9"/>
    <w:rsid w:val="007E1C50"/>
    <w:rsid w:val="007E4F9F"/>
    <w:rsid w:val="007F5C54"/>
    <w:rsid w:val="0080125E"/>
    <w:rsid w:val="00812F3B"/>
    <w:rsid w:val="008442AF"/>
    <w:rsid w:val="00847345"/>
    <w:rsid w:val="00850DFF"/>
    <w:rsid w:val="008666EE"/>
    <w:rsid w:val="00870243"/>
    <w:rsid w:val="00891259"/>
    <w:rsid w:val="008965BA"/>
    <w:rsid w:val="008A0598"/>
    <w:rsid w:val="008A410A"/>
    <w:rsid w:val="008C7938"/>
    <w:rsid w:val="008D6498"/>
    <w:rsid w:val="008F28D5"/>
    <w:rsid w:val="009214A8"/>
    <w:rsid w:val="0093094F"/>
    <w:rsid w:val="009368A0"/>
    <w:rsid w:val="00944677"/>
    <w:rsid w:val="00945753"/>
    <w:rsid w:val="0095521B"/>
    <w:rsid w:val="009723EF"/>
    <w:rsid w:val="009878AC"/>
    <w:rsid w:val="00991559"/>
    <w:rsid w:val="00995066"/>
    <w:rsid w:val="00997F7A"/>
    <w:rsid w:val="009A1953"/>
    <w:rsid w:val="009A3EB4"/>
    <w:rsid w:val="009B6F2A"/>
    <w:rsid w:val="00A2453B"/>
    <w:rsid w:val="00A30785"/>
    <w:rsid w:val="00A37B52"/>
    <w:rsid w:val="00A4029A"/>
    <w:rsid w:val="00A52A90"/>
    <w:rsid w:val="00A548B5"/>
    <w:rsid w:val="00A75331"/>
    <w:rsid w:val="00A82F66"/>
    <w:rsid w:val="00A840D0"/>
    <w:rsid w:val="00A86885"/>
    <w:rsid w:val="00A868EF"/>
    <w:rsid w:val="00A945CD"/>
    <w:rsid w:val="00AA40A6"/>
    <w:rsid w:val="00AA5E2D"/>
    <w:rsid w:val="00AC1B56"/>
    <w:rsid w:val="00AC718A"/>
    <w:rsid w:val="00AC7B7C"/>
    <w:rsid w:val="00AD2EC8"/>
    <w:rsid w:val="00AD31E2"/>
    <w:rsid w:val="00AD71DD"/>
    <w:rsid w:val="00AE327A"/>
    <w:rsid w:val="00B11BD4"/>
    <w:rsid w:val="00B24201"/>
    <w:rsid w:val="00B24A43"/>
    <w:rsid w:val="00B3461A"/>
    <w:rsid w:val="00B63D5B"/>
    <w:rsid w:val="00B84ACE"/>
    <w:rsid w:val="00B90EEC"/>
    <w:rsid w:val="00B95382"/>
    <w:rsid w:val="00B97DA2"/>
    <w:rsid w:val="00BC157D"/>
    <w:rsid w:val="00BC6529"/>
    <w:rsid w:val="00BC714E"/>
    <w:rsid w:val="00BD1508"/>
    <w:rsid w:val="00BE2D89"/>
    <w:rsid w:val="00C11E0D"/>
    <w:rsid w:val="00C1432E"/>
    <w:rsid w:val="00C14945"/>
    <w:rsid w:val="00C215C8"/>
    <w:rsid w:val="00C2305B"/>
    <w:rsid w:val="00C714FC"/>
    <w:rsid w:val="00CA4555"/>
    <w:rsid w:val="00CA6338"/>
    <w:rsid w:val="00CB2986"/>
    <w:rsid w:val="00CC5433"/>
    <w:rsid w:val="00CF48CA"/>
    <w:rsid w:val="00CF6978"/>
    <w:rsid w:val="00D22895"/>
    <w:rsid w:val="00D31F3A"/>
    <w:rsid w:val="00D46366"/>
    <w:rsid w:val="00D52ABA"/>
    <w:rsid w:val="00D60342"/>
    <w:rsid w:val="00D632E3"/>
    <w:rsid w:val="00D91DF9"/>
    <w:rsid w:val="00D9559E"/>
    <w:rsid w:val="00DB0741"/>
    <w:rsid w:val="00DB24A1"/>
    <w:rsid w:val="00DB5DFE"/>
    <w:rsid w:val="00DC621A"/>
    <w:rsid w:val="00DF6B81"/>
    <w:rsid w:val="00E1146C"/>
    <w:rsid w:val="00E1453B"/>
    <w:rsid w:val="00E15A41"/>
    <w:rsid w:val="00E35C1A"/>
    <w:rsid w:val="00E50A1E"/>
    <w:rsid w:val="00E70018"/>
    <w:rsid w:val="00E805DA"/>
    <w:rsid w:val="00EA21F7"/>
    <w:rsid w:val="00EA38FF"/>
    <w:rsid w:val="00EB23A9"/>
    <w:rsid w:val="00EB4D42"/>
    <w:rsid w:val="00ED6825"/>
    <w:rsid w:val="00EE6679"/>
    <w:rsid w:val="00EF17BD"/>
    <w:rsid w:val="00F06B7F"/>
    <w:rsid w:val="00F152C2"/>
    <w:rsid w:val="00F21F16"/>
    <w:rsid w:val="00F27F07"/>
    <w:rsid w:val="00F42BD8"/>
    <w:rsid w:val="00F437EC"/>
    <w:rsid w:val="00F606B7"/>
    <w:rsid w:val="00F660D5"/>
    <w:rsid w:val="00F747DD"/>
    <w:rsid w:val="00F8133D"/>
    <w:rsid w:val="00F830A6"/>
    <w:rsid w:val="00FA6932"/>
    <w:rsid w:val="00FB1232"/>
    <w:rsid w:val="00FB157D"/>
    <w:rsid w:val="00FB5101"/>
    <w:rsid w:val="00FC0B53"/>
    <w:rsid w:val="00FC5AE2"/>
    <w:rsid w:val="00FC782A"/>
    <w:rsid w:val="00FD10CA"/>
    <w:rsid w:val="00FE56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74BD33"/>
  <w15:chartTrackingRefBased/>
  <w15:docId w15:val="{ECE5AE2A-A5B9-4D20-BFFC-8B8CE0D35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47B"/>
    <w:rPr>
      <w:rFonts w:ascii="Arial" w:hAnsi="Arial"/>
      <w:szCs w:val="24"/>
      <w:lang w:val="en-US"/>
    </w:rPr>
  </w:style>
  <w:style w:type="paragraph" w:styleId="Heading1">
    <w:name w:val="heading 1"/>
    <w:basedOn w:val="Normal"/>
    <w:next w:val="Normal"/>
    <w:autoRedefine/>
    <w:qFormat/>
    <w:rsid w:val="0028733B"/>
    <w:pPr>
      <w:keepNext/>
      <w:numPr>
        <w:numId w:val="1"/>
      </w:numPr>
      <w:spacing w:line="480" w:lineRule="exact"/>
      <w:outlineLvl w:val="0"/>
    </w:pPr>
    <w:rPr>
      <w:rFonts w:cs="Arial"/>
      <w:b/>
      <w:bCs/>
      <w:kern w:val="32"/>
      <w:sz w:val="42"/>
      <w:szCs w:val="32"/>
    </w:rPr>
  </w:style>
  <w:style w:type="paragraph" w:styleId="Heading2">
    <w:name w:val="heading 2"/>
    <w:basedOn w:val="Heading1"/>
    <w:next w:val="Normal"/>
    <w:link w:val="Heading2Char"/>
    <w:autoRedefine/>
    <w:uiPriority w:val="9"/>
    <w:qFormat/>
    <w:rsid w:val="00537DC6"/>
    <w:pPr>
      <w:numPr>
        <w:numId w:val="0"/>
      </w:numPr>
      <w:spacing w:line="380" w:lineRule="exact"/>
      <w:outlineLvl w:val="1"/>
    </w:pPr>
    <w:rPr>
      <w:bCs w:val="0"/>
      <w:iCs/>
      <w:sz w:val="32"/>
      <w:szCs w:val="28"/>
    </w:rPr>
  </w:style>
  <w:style w:type="paragraph" w:styleId="Heading3">
    <w:name w:val="heading 3"/>
    <w:basedOn w:val="Normal"/>
    <w:next w:val="Normal"/>
    <w:autoRedefine/>
    <w:qFormat/>
    <w:rsid w:val="00537DC6"/>
    <w:pPr>
      <w:keepNext/>
      <w:numPr>
        <w:ilvl w:val="2"/>
        <w:numId w:val="1"/>
      </w:numPr>
      <w:spacing w:line="300" w:lineRule="exact"/>
      <w:outlineLvl w:val="2"/>
    </w:pPr>
    <w:rPr>
      <w:rFonts w:cs="Arial"/>
      <w:b/>
      <w:bCs/>
      <w:sz w:val="24"/>
    </w:rPr>
  </w:style>
  <w:style w:type="paragraph" w:styleId="Heading4">
    <w:name w:val="heading 4"/>
    <w:basedOn w:val="Normal"/>
    <w:next w:val="Normal"/>
    <w:autoRedefine/>
    <w:qFormat/>
    <w:rsid w:val="00870243"/>
    <w:pPr>
      <w:keepNext/>
      <w:numPr>
        <w:ilvl w:val="3"/>
        <w:numId w:val="1"/>
      </w:numPr>
      <w:tabs>
        <w:tab w:val="left" w:pos="720"/>
      </w:tabs>
      <w:outlineLvl w:val="3"/>
    </w:pPr>
    <w:rPr>
      <w:b/>
      <w:bCs/>
      <w:szCs w:val="28"/>
    </w:rPr>
  </w:style>
  <w:style w:type="paragraph" w:styleId="Heading5">
    <w:name w:val="heading 5"/>
    <w:basedOn w:val="Normal"/>
    <w:next w:val="Normal"/>
    <w:link w:val="Heading5Char"/>
    <w:uiPriority w:val="9"/>
    <w:semiHidden/>
    <w:unhideWhenUsed/>
    <w:qFormat/>
    <w:rsid w:val="00AA40A6"/>
    <w:pPr>
      <w:keepNext/>
      <w:keepLines/>
      <w:spacing w:before="200"/>
      <w:ind w:left="709" w:hanging="709"/>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A40A6"/>
    <w:pPr>
      <w:keepNext/>
      <w:keepLines/>
      <w:spacing w:before="200"/>
      <w:ind w:left="709" w:hanging="709"/>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A40A6"/>
    <w:pPr>
      <w:keepNext/>
      <w:keepLines/>
      <w:spacing w:before="200"/>
      <w:ind w:left="709" w:hanging="709"/>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A40A6"/>
    <w:pPr>
      <w:keepNext/>
      <w:keepLines/>
      <w:spacing w:before="200"/>
      <w:ind w:left="709" w:hanging="709"/>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AA40A6"/>
    <w:pPr>
      <w:keepNext/>
      <w:keepLines/>
      <w:spacing w:before="200"/>
      <w:ind w:left="709" w:hanging="709"/>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 1"/>
    <w:basedOn w:val="Normal"/>
    <w:autoRedefine/>
    <w:qFormat/>
    <w:rsid w:val="003A2E6A"/>
    <w:pPr>
      <w:spacing w:line="480" w:lineRule="exact"/>
    </w:pPr>
    <w:rPr>
      <w:b/>
      <w:sz w:val="42"/>
      <w:lang w:val="de-CH"/>
    </w:rPr>
  </w:style>
  <w:style w:type="paragraph" w:customStyle="1" w:styleId="Title2">
    <w:name w:val="Title 2"/>
    <w:basedOn w:val="Normal"/>
    <w:autoRedefine/>
    <w:qFormat/>
    <w:rsid w:val="006F554B"/>
    <w:pPr>
      <w:spacing w:line="380" w:lineRule="exact"/>
    </w:pPr>
    <w:rPr>
      <w:b/>
      <w:sz w:val="32"/>
    </w:rPr>
  </w:style>
  <w:style w:type="paragraph" w:customStyle="1" w:styleId="Title3">
    <w:name w:val="Title 3"/>
    <w:basedOn w:val="Normal"/>
    <w:autoRedefine/>
    <w:qFormat/>
    <w:rsid w:val="006F554B"/>
    <w:pPr>
      <w:spacing w:line="300" w:lineRule="exact"/>
    </w:pPr>
    <w:rPr>
      <w:b/>
      <w:sz w:val="24"/>
    </w:rPr>
  </w:style>
  <w:style w:type="paragraph" w:customStyle="1" w:styleId="Title4">
    <w:name w:val="Title 4"/>
    <w:basedOn w:val="Normal"/>
    <w:autoRedefine/>
    <w:qFormat/>
    <w:rsid w:val="006F554B"/>
    <w:rPr>
      <w:b/>
    </w:rPr>
  </w:style>
  <w:style w:type="paragraph" w:styleId="TOC1">
    <w:name w:val="toc 1"/>
    <w:basedOn w:val="Normal"/>
    <w:next w:val="Normal"/>
    <w:rsid w:val="00731CD0"/>
    <w:pPr>
      <w:spacing w:before="120" w:after="120"/>
    </w:pPr>
  </w:style>
  <w:style w:type="paragraph" w:styleId="TOC2">
    <w:name w:val="toc 2"/>
    <w:basedOn w:val="Normal"/>
    <w:next w:val="Normal"/>
    <w:rsid w:val="00731CD0"/>
    <w:pPr>
      <w:spacing w:before="60"/>
      <w:ind w:left="238"/>
    </w:pPr>
  </w:style>
  <w:style w:type="paragraph" w:styleId="TOC3">
    <w:name w:val="toc 3"/>
    <w:basedOn w:val="Normal"/>
    <w:next w:val="Normal"/>
    <w:rsid w:val="00731CD0"/>
    <w:pPr>
      <w:ind w:left="480"/>
    </w:pPr>
  </w:style>
  <w:style w:type="paragraph" w:styleId="TOC4">
    <w:name w:val="toc 4"/>
    <w:basedOn w:val="Normal"/>
    <w:next w:val="Normal"/>
    <w:rsid w:val="00731CD0"/>
    <w:pPr>
      <w:ind w:left="720"/>
    </w:pPr>
  </w:style>
  <w:style w:type="paragraph" w:customStyle="1" w:styleId="Normal-klein">
    <w:name w:val="Normal-klein"/>
    <w:basedOn w:val="Normal"/>
    <w:autoRedefine/>
    <w:qFormat/>
    <w:rsid w:val="002200CB"/>
    <w:pPr>
      <w:spacing w:line="200" w:lineRule="exact"/>
    </w:pPr>
    <w:rPr>
      <w:sz w:val="15"/>
    </w:rPr>
  </w:style>
  <w:style w:type="paragraph" w:styleId="Header">
    <w:name w:val="header"/>
    <w:basedOn w:val="Normal"/>
    <w:rsid w:val="00483FAE"/>
    <w:pPr>
      <w:tabs>
        <w:tab w:val="center" w:pos="4536"/>
        <w:tab w:val="right" w:pos="9072"/>
      </w:tabs>
    </w:pPr>
    <w:rPr>
      <w:sz w:val="18"/>
    </w:rPr>
  </w:style>
  <w:style w:type="paragraph" w:styleId="Footer">
    <w:name w:val="footer"/>
    <w:basedOn w:val="Normal"/>
    <w:rsid w:val="00483FAE"/>
    <w:pPr>
      <w:tabs>
        <w:tab w:val="center" w:pos="4536"/>
        <w:tab w:val="right" w:pos="9072"/>
      </w:tabs>
    </w:pPr>
    <w:rPr>
      <w:sz w:val="18"/>
    </w:rPr>
  </w:style>
  <w:style w:type="character" w:customStyle="1" w:styleId="Heading5Char">
    <w:name w:val="Heading 5 Char"/>
    <w:basedOn w:val="DefaultParagraphFont"/>
    <w:link w:val="Heading5"/>
    <w:uiPriority w:val="9"/>
    <w:semiHidden/>
    <w:rsid w:val="00AA40A6"/>
    <w:rPr>
      <w:rFonts w:asciiTheme="majorHAnsi" w:eastAsiaTheme="majorEastAsia" w:hAnsiTheme="majorHAnsi" w:cstheme="majorBidi"/>
      <w:color w:val="243F60" w:themeColor="accent1" w:themeShade="7F"/>
      <w:szCs w:val="24"/>
      <w:lang w:val="en-US" w:eastAsia="en-US"/>
    </w:rPr>
  </w:style>
  <w:style w:type="character" w:customStyle="1" w:styleId="Heading6Char">
    <w:name w:val="Heading 6 Char"/>
    <w:basedOn w:val="DefaultParagraphFont"/>
    <w:link w:val="Heading6"/>
    <w:uiPriority w:val="9"/>
    <w:semiHidden/>
    <w:rsid w:val="00AA40A6"/>
    <w:rPr>
      <w:rFonts w:asciiTheme="majorHAnsi" w:eastAsiaTheme="majorEastAsia" w:hAnsiTheme="majorHAnsi" w:cstheme="majorBidi"/>
      <w:i/>
      <w:iCs/>
      <w:color w:val="243F60" w:themeColor="accent1" w:themeShade="7F"/>
      <w:szCs w:val="24"/>
      <w:lang w:val="en-US" w:eastAsia="en-US"/>
    </w:rPr>
  </w:style>
  <w:style w:type="character" w:customStyle="1" w:styleId="Heading7Char">
    <w:name w:val="Heading 7 Char"/>
    <w:basedOn w:val="DefaultParagraphFont"/>
    <w:link w:val="Heading7"/>
    <w:uiPriority w:val="9"/>
    <w:semiHidden/>
    <w:rsid w:val="00AA40A6"/>
    <w:rPr>
      <w:rFonts w:asciiTheme="majorHAnsi" w:eastAsiaTheme="majorEastAsia" w:hAnsiTheme="majorHAnsi" w:cstheme="majorBidi"/>
      <w:i/>
      <w:iCs/>
      <w:color w:val="404040" w:themeColor="text1" w:themeTint="BF"/>
      <w:szCs w:val="24"/>
      <w:lang w:val="en-US" w:eastAsia="en-US"/>
    </w:rPr>
  </w:style>
  <w:style w:type="character" w:customStyle="1" w:styleId="Heading8Char">
    <w:name w:val="Heading 8 Char"/>
    <w:basedOn w:val="DefaultParagraphFont"/>
    <w:link w:val="Heading8"/>
    <w:uiPriority w:val="9"/>
    <w:semiHidden/>
    <w:rsid w:val="00AA40A6"/>
    <w:rPr>
      <w:rFonts w:asciiTheme="majorHAnsi" w:eastAsiaTheme="majorEastAsia" w:hAnsiTheme="majorHAnsi" w:cstheme="majorBidi"/>
      <w:color w:val="404040" w:themeColor="text1" w:themeTint="BF"/>
      <w:lang w:val="en-US" w:eastAsia="en-US"/>
    </w:rPr>
  </w:style>
  <w:style w:type="character" w:customStyle="1" w:styleId="Heading9Char">
    <w:name w:val="Heading 9 Char"/>
    <w:basedOn w:val="DefaultParagraphFont"/>
    <w:link w:val="Heading9"/>
    <w:uiPriority w:val="9"/>
    <w:semiHidden/>
    <w:rsid w:val="00AA40A6"/>
    <w:rPr>
      <w:rFonts w:asciiTheme="majorHAnsi" w:eastAsiaTheme="majorEastAsia" w:hAnsiTheme="majorHAnsi" w:cstheme="majorBidi"/>
      <w:i/>
      <w:iCs/>
      <w:color w:val="404040" w:themeColor="text1" w:themeTint="BF"/>
      <w:lang w:val="en-US" w:eastAsia="en-US"/>
    </w:rPr>
  </w:style>
  <w:style w:type="paragraph" w:styleId="ListParagraph">
    <w:name w:val="List Paragraph"/>
    <w:basedOn w:val="Normal"/>
    <w:uiPriority w:val="34"/>
    <w:qFormat/>
    <w:rsid w:val="00CA4555"/>
    <w:pPr>
      <w:ind w:left="720"/>
      <w:contextualSpacing/>
    </w:pPr>
  </w:style>
  <w:style w:type="character" w:styleId="CommentReference">
    <w:name w:val="annotation reference"/>
    <w:basedOn w:val="DefaultParagraphFont"/>
    <w:uiPriority w:val="99"/>
    <w:semiHidden/>
    <w:unhideWhenUsed/>
    <w:rsid w:val="00F8133D"/>
    <w:rPr>
      <w:sz w:val="16"/>
      <w:szCs w:val="16"/>
    </w:rPr>
  </w:style>
  <w:style w:type="paragraph" w:styleId="CommentText">
    <w:name w:val="annotation text"/>
    <w:basedOn w:val="Normal"/>
    <w:link w:val="CommentTextChar"/>
    <w:uiPriority w:val="99"/>
    <w:unhideWhenUsed/>
    <w:rsid w:val="00F8133D"/>
    <w:rPr>
      <w:szCs w:val="20"/>
    </w:rPr>
  </w:style>
  <w:style w:type="character" w:customStyle="1" w:styleId="CommentTextChar">
    <w:name w:val="Comment Text Char"/>
    <w:basedOn w:val="DefaultParagraphFont"/>
    <w:link w:val="CommentText"/>
    <w:uiPriority w:val="99"/>
    <w:rsid w:val="00F8133D"/>
    <w:rPr>
      <w:rFonts w:ascii="Arial" w:hAnsi="Arial"/>
      <w:lang w:val="en-US"/>
    </w:rPr>
  </w:style>
  <w:style w:type="paragraph" w:styleId="CommentSubject">
    <w:name w:val="annotation subject"/>
    <w:basedOn w:val="CommentText"/>
    <w:next w:val="CommentText"/>
    <w:link w:val="CommentSubjectChar"/>
    <w:uiPriority w:val="99"/>
    <w:semiHidden/>
    <w:unhideWhenUsed/>
    <w:rsid w:val="00F8133D"/>
    <w:rPr>
      <w:b/>
      <w:bCs/>
    </w:rPr>
  </w:style>
  <w:style w:type="character" w:customStyle="1" w:styleId="CommentSubjectChar">
    <w:name w:val="Comment Subject Char"/>
    <w:basedOn w:val="CommentTextChar"/>
    <w:link w:val="CommentSubject"/>
    <w:uiPriority w:val="99"/>
    <w:semiHidden/>
    <w:rsid w:val="00F8133D"/>
    <w:rPr>
      <w:rFonts w:ascii="Arial" w:hAnsi="Arial"/>
      <w:b/>
      <w:bCs/>
      <w:lang w:val="en-US"/>
    </w:rPr>
  </w:style>
  <w:style w:type="paragraph" w:styleId="NormalWeb">
    <w:name w:val="Normal (Web)"/>
    <w:basedOn w:val="Normal"/>
    <w:uiPriority w:val="99"/>
    <w:semiHidden/>
    <w:unhideWhenUsed/>
    <w:rsid w:val="00371CA5"/>
    <w:pPr>
      <w:spacing w:before="100" w:beforeAutospacing="1" w:after="100" w:afterAutospacing="1"/>
    </w:pPr>
    <w:rPr>
      <w:rFonts w:ascii="Times New Roman" w:eastAsia="Times New Roman" w:hAnsi="Times New Roman"/>
      <w:sz w:val="24"/>
      <w:lang w:val="de-CH" w:eastAsia="de-CH"/>
    </w:rPr>
  </w:style>
  <w:style w:type="character" w:styleId="Strong">
    <w:name w:val="Strong"/>
    <w:basedOn w:val="DefaultParagraphFont"/>
    <w:uiPriority w:val="22"/>
    <w:qFormat/>
    <w:rsid w:val="00371CA5"/>
    <w:rPr>
      <w:b/>
      <w:bCs/>
    </w:rPr>
  </w:style>
  <w:style w:type="table" w:styleId="TableGrid">
    <w:name w:val="Table Grid"/>
    <w:basedOn w:val="TableNormal"/>
    <w:uiPriority w:val="59"/>
    <w:rsid w:val="00F06B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06B7F"/>
    <w:rPr>
      <w:szCs w:val="20"/>
    </w:rPr>
  </w:style>
  <w:style w:type="character" w:customStyle="1" w:styleId="FootnoteTextChar">
    <w:name w:val="Footnote Text Char"/>
    <w:basedOn w:val="DefaultParagraphFont"/>
    <w:link w:val="FootnoteText"/>
    <w:uiPriority w:val="99"/>
    <w:semiHidden/>
    <w:rsid w:val="00F06B7F"/>
    <w:rPr>
      <w:rFonts w:ascii="Arial" w:hAnsi="Arial"/>
      <w:lang w:val="en-US"/>
    </w:rPr>
  </w:style>
  <w:style w:type="character" w:styleId="FootnoteReference">
    <w:name w:val="footnote reference"/>
    <w:basedOn w:val="DefaultParagraphFont"/>
    <w:uiPriority w:val="99"/>
    <w:semiHidden/>
    <w:unhideWhenUsed/>
    <w:rsid w:val="00F06B7F"/>
    <w:rPr>
      <w:vertAlign w:val="superscript"/>
    </w:rPr>
  </w:style>
  <w:style w:type="paragraph" w:styleId="Revision">
    <w:name w:val="Revision"/>
    <w:hidden/>
    <w:uiPriority w:val="99"/>
    <w:semiHidden/>
    <w:rsid w:val="00A2453B"/>
    <w:rPr>
      <w:rFonts w:ascii="Arial" w:hAnsi="Arial"/>
      <w:szCs w:val="24"/>
      <w:lang w:val="en-US"/>
    </w:rPr>
  </w:style>
  <w:style w:type="paragraph" w:styleId="Title">
    <w:name w:val="Title"/>
    <w:basedOn w:val="Normal"/>
    <w:next w:val="Normal"/>
    <w:link w:val="TitleChar"/>
    <w:uiPriority w:val="10"/>
    <w:qFormat/>
    <w:rsid w:val="00125F9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25F90"/>
    <w:rPr>
      <w:rFonts w:asciiTheme="majorHAnsi" w:eastAsiaTheme="majorEastAsia" w:hAnsiTheme="majorHAnsi" w:cstheme="majorBidi"/>
      <w:color w:val="17365D" w:themeColor="text2" w:themeShade="BF"/>
      <w:spacing w:val="5"/>
      <w:kern w:val="28"/>
      <w:sz w:val="52"/>
      <w:szCs w:val="52"/>
      <w:lang w:val="en-US"/>
    </w:rPr>
  </w:style>
  <w:style w:type="character" w:customStyle="1" w:styleId="Heading2Char">
    <w:name w:val="Heading 2 Char"/>
    <w:basedOn w:val="DefaultParagraphFont"/>
    <w:link w:val="Heading2"/>
    <w:uiPriority w:val="9"/>
    <w:rsid w:val="00125F90"/>
    <w:rPr>
      <w:rFonts w:ascii="Arial" w:hAnsi="Arial" w:cs="Arial"/>
      <w:b/>
      <w:iCs/>
      <w:kern w:val="32"/>
      <w:sz w:val="32"/>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1756">
      <w:bodyDiv w:val="1"/>
      <w:marLeft w:val="0"/>
      <w:marRight w:val="0"/>
      <w:marTop w:val="0"/>
      <w:marBottom w:val="0"/>
      <w:divBdr>
        <w:top w:val="none" w:sz="0" w:space="0" w:color="auto"/>
        <w:left w:val="none" w:sz="0" w:space="0" w:color="auto"/>
        <w:bottom w:val="none" w:sz="0" w:space="0" w:color="auto"/>
        <w:right w:val="none" w:sz="0" w:space="0" w:color="auto"/>
      </w:divBdr>
    </w:div>
    <w:div w:id="316225210">
      <w:bodyDiv w:val="1"/>
      <w:marLeft w:val="0"/>
      <w:marRight w:val="0"/>
      <w:marTop w:val="0"/>
      <w:marBottom w:val="0"/>
      <w:divBdr>
        <w:top w:val="none" w:sz="0" w:space="0" w:color="auto"/>
        <w:left w:val="none" w:sz="0" w:space="0" w:color="auto"/>
        <w:bottom w:val="none" w:sz="0" w:space="0" w:color="auto"/>
        <w:right w:val="none" w:sz="0" w:space="0" w:color="auto"/>
      </w:divBdr>
      <w:divsChild>
        <w:div w:id="719745032">
          <w:marLeft w:val="0"/>
          <w:marRight w:val="0"/>
          <w:marTop w:val="0"/>
          <w:marBottom w:val="0"/>
          <w:divBdr>
            <w:top w:val="none" w:sz="0" w:space="0" w:color="auto"/>
            <w:left w:val="none" w:sz="0" w:space="0" w:color="auto"/>
            <w:bottom w:val="none" w:sz="0" w:space="0" w:color="auto"/>
            <w:right w:val="none" w:sz="0" w:space="0" w:color="auto"/>
          </w:divBdr>
          <w:divsChild>
            <w:div w:id="1138114152">
              <w:marLeft w:val="0"/>
              <w:marRight w:val="0"/>
              <w:marTop w:val="0"/>
              <w:marBottom w:val="0"/>
              <w:divBdr>
                <w:top w:val="none" w:sz="0" w:space="0" w:color="auto"/>
                <w:left w:val="none" w:sz="0" w:space="0" w:color="auto"/>
                <w:bottom w:val="none" w:sz="0" w:space="0" w:color="auto"/>
                <w:right w:val="none" w:sz="0" w:space="0" w:color="auto"/>
              </w:divBdr>
              <w:divsChild>
                <w:div w:id="16665433">
                  <w:marLeft w:val="0"/>
                  <w:marRight w:val="0"/>
                  <w:marTop w:val="0"/>
                  <w:marBottom w:val="0"/>
                  <w:divBdr>
                    <w:top w:val="none" w:sz="0" w:space="0" w:color="auto"/>
                    <w:left w:val="none" w:sz="0" w:space="0" w:color="auto"/>
                    <w:bottom w:val="none" w:sz="0" w:space="0" w:color="auto"/>
                    <w:right w:val="none" w:sz="0" w:space="0" w:color="auto"/>
                  </w:divBdr>
                  <w:divsChild>
                    <w:div w:id="181289431">
                      <w:marLeft w:val="0"/>
                      <w:marRight w:val="0"/>
                      <w:marTop w:val="0"/>
                      <w:marBottom w:val="0"/>
                      <w:divBdr>
                        <w:top w:val="none" w:sz="0" w:space="0" w:color="auto"/>
                        <w:left w:val="none" w:sz="0" w:space="0" w:color="auto"/>
                        <w:bottom w:val="none" w:sz="0" w:space="0" w:color="auto"/>
                        <w:right w:val="none" w:sz="0" w:space="0" w:color="auto"/>
                      </w:divBdr>
                      <w:divsChild>
                        <w:div w:id="206067451">
                          <w:marLeft w:val="0"/>
                          <w:marRight w:val="0"/>
                          <w:marTop w:val="0"/>
                          <w:marBottom w:val="0"/>
                          <w:divBdr>
                            <w:top w:val="none" w:sz="0" w:space="0" w:color="auto"/>
                            <w:left w:val="none" w:sz="0" w:space="0" w:color="auto"/>
                            <w:bottom w:val="none" w:sz="0" w:space="0" w:color="auto"/>
                            <w:right w:val="none" w:sz="0" w:space="0" w:color="auto"/>
                          </w:divBdr>
                          <w:divsChild>
                            <w:div w:id="141893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9378823">
      <w:bodyDiv w:val="1"/>
      <w:marLeft w:val="0"/>
      <w:marRight w:val="0"/>
      <w:marTop w:val="0"/>
      <w:marBottom w:val="0"/>
      <w:divBdr>
        <w:top w:val="none" w:sz="0" w:space="0" w:color="auto"/>
        <w:left w:val="none" w:sz="0" w:space="0" w:color="auto"/>
        <w:bottom w:val="none" w:sz="0" w:space="0" w:color="auto"/>
        <w:right w:val="none" w:sz="0" w:space="0" w:color="auto"/>
      </w:divBdr>
      <w:divsChild>
        <w:div w:id="1463770069">
          <w:marLeft w:val="0"/>
          <w:marRight w:val="0"/>
          <w:marTop w:val="0"/>
          <w:marBottom w:val="0"/>
          <w:divBdr>
            <w:top w:val="none" w:sz="0" w:space="0" w:color="auto"/>
            <w:left w:val="none" w:sz="0" w:space="0" w:color="auto"/>
            <w:bottom w:val="none" w:sz="0" w:space="0" w:color="auto"/>
            <w:right w:val="none" w:sz="0" w:space="0" w:color="auto"/>
          </w:divBdr>
        </w:div>
      </w:divsChild>
    </w:div>
    <w:div w:id="490603589">
      <w:bodyDiv w:val="1"/>
      <w:marLeft w:val="0"/>
      <w:marRight w:val="0"/>
      <w:marTop w:val="0"/>
      <w:marBottom w:val="0"/>
      <w:divBdr>
        <w:top w:val="none" w:sz="0" w:space="0" w:color="auto"/>
        <w:left w:val="none" w:sz="0" w:space="0" w:color="auto"/>
        <w:bottom w:val="none" w:sz="0" w:space="0" w:color="auto"/>
        <w:right w:val="none" w:sz="0" w:space="0" w:color="auto"/>
      </w:divBdr>
    </w:div>
    <w:div w:id="940142081">
      <w:bodyDiv w:val="1"/>
      <w:marLeft w:val="0"/>
      <w:marRight w:val="0"/>
      <w:marTop w:val="0"/>
      <w:marBottom w:val="0"/>
      <w:divBdr>
        <w:top w:val="none" w:sz="0" w:space="0" w:color="auto"/>
        <w:left w:val="none" w:sz="0" w:space="0" w:color="auto"/>
        <w:bottom w:val="none" w:sz="0" w:space="0" w:color="auto"/>
        <w:right w:val="none" w:sz="0" w:space="0" w:color="auto"/>
      </w:divBdr>
    </w:div>
    <w:div w:id="1162425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FC24F-EDC2-47AB-AA8B-B7ED444A3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1383</Words>
  <Characters>8720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EDA</Company>
  <LinksUpToDate>false</LinksUpToDate>
  <CharactersWithSpaces>10083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Bezverhni Zinaida EDA BEZZI</dc:creator>
  <cp:keywords/>
  <dc:description/>
  <cp:lastModifiedBy>Suruceanu Valentina EDA SUVAL</cp:lastModifiedBy>
  <cp:revision>23</cp:revision>
  <cp:lastPrinted>2025-12-15T07:00:00Z</cp:lastPrinted>
  <dcterms:created xsi:type="dcterms:W3CDTF">2025-01-20T14:11:00Z</dcterms:created>
  <dcterms:modified xsi:type="dcterms:W3CDTF">2025-12-18T08:07:00Z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808400d-548e-4fde-94a9-3a9e4de018ac_Enabled">
    <vt:lpwstr>true</vt:lpwstr>
  </property>
  <property fmtid="{D5CDD505-2E9C-101B-9397-08002B2CF9AE}" pid="3" name="MSIP_Label_9808400d-548e-4fde-94a9-3a9e4de018ac_SetDate">
    <vt:lpwstr>2025-12-01T15:01:26Z</vt:lpwstr>
  </property>
  <property fmtid="{D5CDD505-2E9C-101B-9397-08002B2CF9AE}" pid="4" name="MSIP_Label_9808400d-548e-4fde-94a9-3a9e4de018ac_Method">
    <vt:lpwstr>Privileged</vt:lpwstr>
  </property>
  <property fmtid="{D5CDD505-2E9C-101B-9397-08002B2CF9AE}" pid="5" name="MSIP_Label_9808400d-548e-4fde-94a9-3a9e4de018ac_Name">
    <vt:lpwstr>L2</vt:lpwstr>
  </property>
  <property fmtid="{D5CDD505-2E9C-101B-9397-08002B2CF9AE}" pid="6" name="MSIP_Label_9808400d-548e-4fde-94a9-3a9e4de018ac_SiteId">
    <vt:lpwstr>02e3c4d5-27fd-43fe-8203-97710d02fae4</vt:lpwstr>
  </property>
  <property fmtid="{D5CDD505-2E9C-101B-9397-08002B2CF9AE}" pid="7" name="MSIP_Label_9808400d-548e-4fde-94a9-3a9e4de018ac_ActionId">
    <vt:lpwstr>73f06a27-b659-4e91-b540-784568a5c59b</vt:lpwstr>
  </property>
  <property fmtid="{D5CDD505-2E9C-101B-9397-08002B2CF9AE}" pid="8" name="MSIP_Label_9808400d-548e-4fde-94a9-3a9e4de018ac_ContentBits">
    <vt:lpwstr>0</vt:lpwstr>
  </property>
</Properties>
</file>